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2C4A63"/>
          <w:sz w:val="40"/>
        </w:rPr>
        <w:t xml:space="preserve">  Logisim</w:t>
      </w:r>
      <w:r>
        <w:tab/>
      </w: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spartoo.jpg"/>
                    <pic:cNvPicPr/>
                  </pic:nvPicPr>
                  <pic:blipFill>
                    <a:blip r:embed="rId10"/>
                    <a:stretch>
                      <a:fillRect/>
                    </a:stretch>
                  </pic:blipFill>
                  <pic:spPr>
                    <a:xfrm>
                      <a:off x="0" y="0"/>
                      <a:ext cx="540000" cy="540000"/>
                    </a:xfrm>
                    <a:prstGeom prst="rect"/>
                  </pic:spPr>
                </pic:pic>
              </a:graphicData>
            </a:graphic>
          </wp:inline>
        </w:drawing>
      </w:r>
    </w:p>
    <w:p>
      <w:pPr>
        <w:spacing w:after="0"/>
      </w:pPr>
      <w:r>
        <w:rPr>
          <w:b/>
          <w:color w:val="2C4A63"/>
          <w:sz w:val="36"/>
        </w:rPr>
        <w:t>Carnet de suivi — Remonter la trace d'un lot</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465"/>
        </w:trPr>
        <w:tc>
          <w:tcPr>
            <w:tcW w:type="dxa" w:w="2521"/>
            <w:shd w:fill="E8EDF2"/>
          </w:tcPr>
          <w:p>
            <w:pPr>
              <w:spacing w:after="0"/>
            </w:pPr>
            <w:r>
              <w:rPr>
                <w:b/>
                <w:color w:val="2C4A63"/>
                <w:sz w:val="20"/>
              </w:rPr>
              <w:t>Nom</w:t>
            </w:r>
          </w:p>
        </w:tc>
        <w:tc>
          <w:tcPr>
            <w:tcW w:type="dxa" w:w="2521"/>
          </w:tcPr>
          <w:p/>
        </w:tc>
        <w:tc>
          <w:tcPr>
            <w:tcW w:type="dxa" w:w="2521"/>
            <w:shd w:fill="E8EDF2"/>
          </w:tcPr>
          <w:p>
            <w:pPr>
              <w:spacing w:after="0"/>
            </w:pPr>
            <w:r>
              <w:rPr>
                <w:b/>
                <w:color w:val="2C4A63"/>
                <w:sz w:val="20"/>
              </w:rPr>
              <w:t>Prénom</w:t>
            </w:r>
          </w:p>
        </w:tc>
        <w:tc>
          <w:tcPr>
            <w:tcW w:type="dxa" w:w="2521"/>
          </w:tcPr>
          <w:p/>
        </w:tc>
      </w:tr>
      <w:tr>
        <w:trPr>
          <w:trHeight w:val="465"/>
        </w:trPr>
        <w:tc>
          <w:tcPr>
            <w:tcW w:type="dxa" w:w="2521"/>
            <w:shd w:fill="E8EDF2"/>
          </w:tcPr>
          <w:p>
            <w:pPr>
              <w:spacing w:after="0"/>
            </w:pPr>
            <w:r>
              <w:rPr>
                <w:b/>
                <w:color w:val="2C4A63"/>
                <w:sz w:val="20"/>
              </w:rPr>
              <w:t>Classe</w:t>
            </w:r>
          </w:p>
        </w:tc>
        <w:tc>
          <w:tcPr>
            <w:tcW w:type="dxa" w:w="2521"/>
          </w:tcPr>
          <w:p/>
        </w:tc>
        <w:tc>
          <w:tcPr>
            <w:tcW w:type="dxa" w:w="2521"/>
            <w:shd w:fill="E8EDF2"/>
          </w:tcPr>
          <w:p>
            <w:pPr>
              <w:spacing w:after="0"/>
            </w:pPr>
            <w:r>
              <w:rPr>
                <w:b/>
                <w:color w:val="2C4A63"/>
                <w:sz w:val="20"/>
              </w:rPr>
              <w:t>Date</w:t>
            </w:r>
          </w:p>
        </w:tc>
        <w:tc>
          <w:tcPr>
            <w:tcW w:type="dxa" w:w="2521"/>
          </w:tcPr>
          <w:p/>
        </w:tc>
      </w:tr>
      <w:tr>
        <w:trPr>
          <w:trHeight w:val="465"/>
        </w:trPr>
        <w:tc>
          <w:tcPr>
            <w:tcW w:type="dxa" w:w="2521"/>
            <w:shd w:fill="E8EDF2"/>
          </w:tcPr>
          <w:p>
            <w:pPr>
              <w:spacing w:after="0"/>
            </w:pPr>
            <w:r>
              <w:rPr>
                <w:b/>
                <w:color w:val="2C4A63"/>
                <w:sz w:val="20"/>
              </w:rPr>
              <w:t>Matricule Prepalog</w:t>
            </w:r>
          </w:p>
        </w:tc>
        <w:tc>
          <w:tcPr>
            <w:tcW w:type="dxa" w:w="2521"/>
          </w:tcPr>
          <w:p/>
        </w:tc>
        <w:tc>
          <w:tcPr>
            <w:tcW w:type="dxa" w:w="2521"/>
          </w:tcPr>
          <w:p/>
        </w:tc>
        <w:tc>
          <w:tcPr>
            <w:tcW w:type="dxa" w:w="2521"/>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1F4F7"/>
          </w:tcPr>
          <w:p>
            <w:pPr>
              <w:spacing w:after="0"/>
            </w:pPr>
            <w:r>
              <w:rPr>
                <w:b/>
                <w:color w:val="2C4A63"/>
                <w:sz w:val="20"/>
              </w:rPr>
              <w:t xml:space="preserve">Ce document est ta trame de travail : </w:t>
            </w:r>
            <w:r>
              <w:rPr>
                <w:sz w:val="20"/>
              </w:rPr>
              <w:t>il se complète étape par étape, au fil de la séance. Aujourd'hui, le fournisseur signale un défaut de fabrication sur un lot que tu as reçu. Tu dois retrouver où sont parties les paires de ce lot, bloquer celles qui restent, et rendre compte par écrit. Ton enseignant voit dans son suivi de classe si le travail est fait correctement.</w:t>
            </w:r>
          </w:p>
        </w:tc>
      </w:tr>
    </w:tbl>
    <w:p>
      <w:pPr>
        <w:spacing w:after="40"/>
      </w:pPr>
    </w:p>
    <w:p>
      <w:pPr>
        <w:keepNext/>
        <w:spacing w:before="360" w:after="0"/>
      </w:pPr>
      <w:r>
        <w:rPr>
          <w:rFonts w:ascii="Consolas" w:hAnsi="Consolas"/>
          <w:b/>
          <w:color w:val="B4530F"/>
          <w:sz w:val="19"/>
        </w:rPr>
        <w:t>ÉTAPE 1</w:t>
      </w:r>
    </w:p>
    <w:p>
      <w:pPr>
        <w:keepNext/>
        <w:spacing w:before="40" w:after="160"/>
      </w:pPr>
      <w:r>
        <w:rPr>
          <w:b/>
          <w:color w:val="2C4A63"/>
          <w:sz w:val="30"/>
        </w:rPr>
        <w:t>Comprendre la traçabilité</w:t>
      </w:r>
    </w:p>
    <w:p>
      <w:pPr>
        <w:spacing w:before="0" w:after="120"/>
      </w:pPr>
      <w:r>
        <w:rPr>
          <w:b w:val="0"/>
          <w:color w:val="131A21"/>
          <w:sz w:val="22"/>
        </w:rPr>
        <w:t>Avant d'ouvrir le logiciel, il faut savoir de quoi on parle. Quand un industriel découvre un défaut, il ne rappelle pas toute sa production : il rappelle un lot. Fais une recherche sur Internet pour comprendre comment c'est possible.</w:t>
      </w:r>
    </w:p>
    <w:p>
      <w:pPr>
        <w:keepNext/>
        <w:spacing w:after="80"/>
        <w:ind w:left="454" w:hanging="454"/>
      </w:pPr>
      <w:r>
        <w:rPr>
          <w:b/>
          <w:color w:val="2C4A63"/>
          <w:sz w:val="22"/>
        </w:rPr>
        <w:t xml:space="preserve">1.  </w:t>
      </w:r>
      <w:r>
        <w:rPr>
          <w:sz w:val="22"/>
        </w:rPr>
        <w:t>Cherche « traçabilité logistique définition » puis « numéro de lot à quoi ça sert ».</w:t>
      </w:r>
    </w:p>
    <w:p>
      <w:pPr>
        <w:keepNext/>
        <w:spacing w:after="80"/>
        <w:ind w:left="454" w:hanging="454"/>
      </w:pPr>
      <w:r>
        <w:rPr>
          <w:b/>
          <w:color w:val="2C4A63"/>
          <w:sz w:val="22"/>
        </w:rPr>
        <w:t xml:space="preserve">2.  </w:t>
      </w:r>
      <w:r>
        <w:rPr>
          <w:sz w:val="22"/>
        </w:rPr>
        <w:t>Cherche ensuite un exemple réel de rappel de produit (le site RappelConso en présente beaucoup).</w:t>
      </w:r>
    </w:p>
    <w:p>
      <w:pPr>
        <w:keepNext/>
        <w:spacing w:after="80"/>
        <w:ind w:left="454" w:hanging="454"/>
      </w:pPr>
      <w:r>
        <w:rPr>
          <w:b/>
          <w:color w:val="2C4A63"/>
          <w:sz w:val="22"/>
        </w:rPr>
        <w:t xml:space="preserve">3.  </w:t>
      </w:r>
      <w:r>
        <w:rPr>
          <w:sz w:val="22"/>
        </w:rPr>
        <w:t>Réponds aux questions ci-dessous avec ce que tu trouves.</w:t>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Qu'est-ce qu'un numéro de lot, et qui l'attribue ?</w:t>
            </w:r>
          </w:p>
          <w:p>
            <w:pPr>
              <w:spacing w:before="0" w:after="80"/>
            </w:pPr>
            <w:r>
              <w:rPr>
                <w:sz w:val="22"/>
              </w:rPr>
            </w:r>
          </w:p>
          <w:p>
            <w:pPr>
              <w:spacing w:before="0" w:after="80"/>
            </w:pPr>
            <w:r>
              <w:rPr>
                <w:sz w:val="22"/>
              </w:rPr>
            </w:r>
          </w:p>
        </w:tc>
      </w:tr>
      <w:tr>
        <w:trPr>
          <w:trHeight w:val="1270"/>
        </w:trPr>
        <w:tc>
          <w:tcPr>
            <w:tcW w:type="dxa" w:w="10086"/>
            <w:shd w:fill="FAFBFC"/>
          </w:tcPr>
          <w:p>
            <w:pPr>
              <w:spacing w:after="80"/>
            </w:pPr>
            <w:r>
              <w:rPr>
                <w:b/>
                <w:sz w:val="21"/>
              </w:rPr>
              <w:t>Que veut dire « tracer » un produit en logistique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Dans un rappel de produit que tu as trouvé, quelles informations l'entreprise donne-t-elle au client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Une entreprise qui ne sait pas dans quel lot était un article : que doit-elle faire en cas de défaut ? Pourquoi cela lui coûte-t-il beaucoup plus cher ?</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B4530F"/>
          <w:sz w:val="19"/>
        </w:rPr>
        <w:t>ÉTAPE 2</w:t>
      </w:r>
    </w:p>
    <w:p>
      <w:pPr>
        <w:keepNext/>
        <w:spacing w:before="40" w:after="160"/>
      </w:pPr>
      <w:r>
        <w:rPr>
          <w:b/>
          <w:color w:val="2C4A63"/>
          <w:sz w:val="30"/>
        </w:rPr>
        <w:t>Lire l'alerte du fournisseur et la consigne</w:t>
      </w:r>
    </w:p>
    <w:p>
      <w:pPr>
        <w:spacing w:before="0" w:after="120"/>
      </w:pPr>
      <w:r>
        <w:rPr>
          <w:b w:val="0"/>
          <w:color w:val="131A21"/>
          <w:sz w:val="22"/>
        </w:rPr>
        <w:t>Connecte-toi à Prepalog, ouvre la rubrique Logisim puis l'activité « Spartoo — traçabilité ». Va dans Messagerie : deux messages t'attendent. Lis-les tous les deux avant de toucher à quoi que ce soit.</w:t>
      </w:r>
    </w:p>
    <w:p>
      <w:pPr>
        <w:keepNext/>
        <w:spacing w:after="80"/>
        <w:ind w:left="454" w:hanging="454"/>
      </w:pPr>
      <w:r>
        <w:rPr>
          <w:b/>
          <w:color w:val="2C4A63"/>
          <w:sz w:val="22"/>
        </w:rPr>
        <w:t xml:space="preserve">1.  </w:t>
      </w:r>
      <w:r>
        <w:rPr>
          <w:sz w:val="22"/>
        </w:rPr>
        <w:t>Ouvre le message de Puma : « URGENT — rappel qualité sur le lot… ».</w:t>
      </w:r>
    </w:p>
    <w:p>
      <w:pPr>
        <w:spacing w:after="80"/>
        <w:ind w:left="454" w:hanging="454"/>
      </w:pPr>
      <w:r>
        <w:rPr>
          <w:b/>
          <w:color w:val="2C4A63"/>
          <w:sz w:val="22"/>
        </w:rPr>
        <w:t xml:space="preserve">2.  </w:t>
      </w:r>
      <w:r>
        <w:rPr>
          <w:sz w:val="22"/>
        </w:rPr>
        <w:t>Ouvre ensuite le message de M. Morin : c'est lui qui dit ce que tu dois faire, et dans quel ordre.</w:t>
      </w:r>
    </w:p>
    <w:p>
      <w:pPr>
        <w:keepNext/>
        <w:spacing w:before="120" w:after="120"/>
      </w:pPr>
      <w:r>
        <w:rPr>
          <w:b/>
          <w:color w:val="131A21"/>
          <w:sz w:val="21"/>
        </w:rPr>
        <w:t>Relève les informations de l'alerte :</w:t>
      </w:r>
    </w:p>
    <w:tbl>
      <w:tblPr>
        <w:tblStyle w:val="TableGrid"/>
        <w:tblW w:type="auto" w:w="0"/>
        <w:tblLook w:firstColumn="1" w:firstRow="1" w:lastColumn="0" w:lastRow="0" w:noHBand="0" w:noVBand="1" w:val="04A0"/>
      </w:tblPr>
      <w:tblGrid>
        <w:gridCol w:w="5043"/>
        <w:gridCol w:w="5043"/>
      </w:tblGrid>
      <w:tr>
        <w:tc>
          <w:tcPr>
            <w:tcW w:type="dxa" w:w="3628"/>
            <w:shd w:fill="E8EDF2"/>
          </w:tcPr>
          <w:p>
            <w:pPr>
              <w:spacing w:after="0"/>
            </w:pPr>
            <w:r>
              <w:rPr>
                <w:b/>
                <w:color w:val="2C4A63"/>
                <w:sz w:val="20"/>
              </w:rPr>
              <w:t>Information</w:t>
            </w:r>
          </w:p>
        </w:tc>
        <w:tc>
          <w:tcPr>
            <w:tcW w:type="dxa" w:w="6009"/>
            <w:shd w:fill="E8EDF2"/>
          </w:tcPr>
          <w:p>
            <w:pPr>
              <w:spacing w:after="0"/>
            </w:pPr>
            <w:r>
              <w:rPr>
                <w:b/>
                <w:color w:val="2C4A63"/>
                <w:sz w:val="20"/>
              </w:rPr>
              <w:t>Ce que tu relèves</w:t>
            </w: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bl>
    <w:p>
      <w:pPr>
        <w:spacing w:after="40"/>
      </w:pPr>
    </w:p>
    <w:p>
      <w:pPr>
        <w:keepNext/>
        <w:spacing w:before="0" w:after="160"/>
      </w:pPr>
      <w:r>
        <w:rPr>
          <w:b w:val="0"/>
          <w:color w:val="131A21"/>
          <w:sz w:val="19"/>
        </w:rPr>
        <w:t>Dans la colonne de gauche, écris : numéro du lot en cause — nature du défaut — ce que Puma demande — qui a envoyé l'alerte.</w:t>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Le défaut est-il visible à l'œil nu ? Quelle conséquence cela a-t-il pour le contrôle en entrepôt ?</w:t>
            </w:r>
          </w:p>
          <w:p>
            <w:pPr>
              <w:spacing w:before="0" w:after="80"/>
            </w:pPr>
            <w:r>
              <w:rPr>
                <w:sz w:val="22"/>
              </w:rPr>
            </w:r>
          </w:p>
          <w:p>
            <w:pPr>
              <w:spacing w:before="0" w:after="80"/>
            </w:pPr>
            <w:r>
              <w:rPr>
                <w:sz w:val="22"/>
              </w:rPr>
            </w:r>
          </w:p>
        </w:tc>
      </w:tr>
      <w:tr>
        <w:trPr>
          <w:trHeight w:val="1270"/>
        </w:trPr>
        <w:tc>
          <w:tcPr>
            <w:tcW w:type="dxa" w:w="10086"/>
            <w:shd w:fill="FAFBFC"/>
          </w:tcPr>
          <w:p>
            <w:pPr>
              <w:spacing w:after="80"/>
            </w:pPr>
            <w:r>
              <w:rPr>
                <w:b/>
                <w:sz w:val="21"/>
              </w:rPr>
              <w:t>Puma écrit que les paires de la même référence venues d'autres livraisons ne sont pas en cause. Explique pourquoi, avec tes mots.</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B4530F"/>
          <w:sz w:val="19"/>
        </w:rPr>
        <w:t>ÉTAPE 3</w:t>
      </w:r>
    </w:p>
    <w:p>
      <w:pPr>
        <w:keepNext/>
        <w:spacing w:before="40" w:after="160"/>
      </w:pPr>
      <w:r>
        <w:rPr>
          <w:b/>
          <w:color w:val="2C4A63"/>
          <w:sz w:val="30"/>
        </w:rPr>
        <w:t>Remonter l'amont : d'où vient ce lot ?</w:t>
      </w:r>
    </w:p>
    <w:p>
      <w:pPr>
        <w:spacing w:before="0" w:after="120"/>
      </w:pPr>
      <w:r>
        <w:rPr>
          <w:b w:val="0"/>
          <w:color w:val="131A21"/>
          <w:sz w:val="22"/>
        </w:rPr>
        <w:t>Va dans la Console. Une seule commande fait tout le travail : .getlot suivi du numéro de lot. Tape-la, puis lis le tableau du haut, celui qui s'appelle « Entrées ».</w:t>
      </w:r>
    </w:p>
    <w:p>
      <w:pPr>
        <w:keepNext/>
        <w:spacing w:after="80"/>
        <w:ind w:left="454" w:hanging="454"/>
      </w:pPr>
      <w:r>
        <w:rPr>
          <w:b/>
          <w:color w:val="2C4A63"/>
          <w:sz w:val="22"/>
        </w:rPr>
        <w:t xml:space="preserve">1.  </w:t>
      </w:r>
      <w:r>
        <w:rPr>
          <w:sz w:val="22"/>
        </w:rPr>
        <w:t>Tape .getlot suivi du numéro de lot relevé à l'étape 2 (avec ses tirets, sans espace).</w:t>
      </w:r>
    </w:p>
    <w:p>
      <w:pPr>
        <w:keepNext/>
        <w:spacing w:after="80"/>
        <w:ind w:left="454" w:hanging="454"/>
      </w:pPr>
      <w:r>
        <w:rPr>
          <w:b/>
          <w:color w:val="2C4A63"/>
          <w:sz w:val="22"/>
        </w:rPr>
        <w:t xml:space="preserve">2.  </w:t>
      </w:r>
      <w:r>
        <w:rPr>
          <w:sz w:val="22"/>
        </w:rPr>
        <w:t>Lis le résumé en haut : fournisseur, date d'entrée, numéro de réception, quantités.</w:t>
      </w:r>
    </w:p>
    <w:p>
      <w:pPr>
        <w:spacing w:after="80"/>
        <w:ind w:left="454" w:hanging="454"/>
      </w:pPr>
      <w:r>
        <w:rPr>
          <w:b/>
          <w:color w:val="2C4A63"/>
          <w:sz w:val="22"/>
        </w:rPr>
        <w:t xml:space="preserve">3.  </w:t>
      </w:r>
      <w:r>
        <w:rPr>
          <w:sz w:val="22"/>
        </w:rPr>
        <w:t>Lis le tableau « Entrées » : il donne les références concernées, une ligne par référence.</w:t>
      </w:r>
    </w:p>
    <w:p>
      <w:pPr>
        <w:keepNext/>
        <w:spacing w:before="120" w:after="120"/>
      </w:pPr>
      <w:r>
        <w:rPr>
          <w:b/>
          <w:color w:val="131A21"/>
          <w:sz w:val="21"/>
        </w:rPr>
        <w:t>Remplis la fiche d'identité du lot :</w:t>
      </w:r>
    </w:p>
    <w:tbl>
      <w:tblPr>
        <w:tblStyle w:val="TableGrid"/>
        <w:tblW w:type="auto" w:w="0"/>
        <w:tblLook w:firstColumn="1" w:firstRow="1" w:lastColumn="0" w:lastRow="0" w:noHBand="0" w:noVBand="1" w:val="04A0"/>
      </w:tblPr>
      <w:tblGrid>
        <w:gridCol w:w="5043"/>
        <w:gridCol w:w="5043"/>
      </w:tblGrid>
      <w:tr>
        <w:tc>
          <w:tcPr>
            <w:tcW w:type="dxa" w:w="3628"/>
            <w:shd w:fill="E8EDF2"/>
          </w:tcPr>
          <w:p>
            <w:pPr>
              <w:spacing w:after="0"/>
            </w:pPr>
            <w:r>
              <w:rPr>
                <w:b/>
                <w:color w:val="2C4A63"/>
                <w:sz w:val="20"/>
              </w:rPr>
              <w:t>Information</w:t>
            </w:r>
          </w:p>
        </w:tc>
        <w:tc>
          <w:tcPr>
            <w:tcW w:type="dxa" w:w="6009"/>
            <w:shd w:fill="E8EDF2"/>
          </w:tcPr>
          <w:p>
            <w:pPr>
              <w:spacing w:after="0"/>
            </w:pPr>
            <w:r>
              <w:rPr>
                <w:b/>
                <w:color w:val="2C4A63"/>
                <w:sz w:val="20"/>
              </w:rPr>
              <w:t>Ce que tu relèves</w:t>
            </w: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r>
        <w:trPr>
          <w:trHeight w:val="567"/>
        </w:trPr>
        <w:tc>
          <w:tcPr>
            <w:tcW w:type="dxa" w:w="3628"/>
          </w:tcPr>
          <w:p/>
        </w:tc>
        <w:tc>
          <w:tcPr>
            <w:tcW w:type="dxa" w:w="6009"/>
          </w:tcPr>
          <w:p/>
        </w:tc>
      </w:tr>
    </w:tbl>
    <w:p>
      <w:pPr>
        <w:spacing w:after="40"/>
      </w:pPr>
    </w:p>
    <w:p>
      <w:pPr>
        <w:spacing w:before="0" w:after="160"/>
      </w:pPr>
      <w:r>
        <w:rPr>
          <w:b w:val="0"/>
          <w:color w:val="131A21"/>
          <w:sz w:val="19"/>
        </w:rPr>
        <w:t>Dans la colonne de gauche, écris : numéro de lot — fournisseur — date d'entrée en stock — numéro de réception — nombre total de paires entrées.</w:t>
      </w:r>
    </w:p>
    <w:p>
      <w:pPr>
        <w:keepNext/>
        <w:spacing w:before="120" w:after="120"/>
      </w:pPr>
      <w:r>
        <w:rPr>
          <w:b/>
          <w:color w:val="131A21"/>
          <w:sz w:val="21"/>
        </w:rPr>
        <w:t>Recopie maintenant le détail des entrées :</w:t>
      </w:r>
    </w:p>
    <w:tbl>
      <w:tblPr>
        <w:tblStyle w:val="TableGrid"/>
        <w:tblW w:type="auto" w:w="0"/>
        <w:tblLook w:firstColumn="1" w:firstRow="1" w:lastColumn="0" w:lastRow="0" w:noHBand="0" w:noVBand="1" w:val="04A0"/>
      </w:tblPr>
      <w:tblGrid>
        <w:gridCol w:w="3362"/>
        <w:gridCol w:w="3362"/>
        <w:gridCol w:w="3362"/>
      </w:tblGrid>
      <w:tr>
        <w:tc>
          <w:tcPr>
            <w:tcW w:type="dxa" w:w="3061"/>
            <w:shd w:fill="E8EDF2"/>
          </w:tcPr>
          <w:p>
            <w:pPr>
              <w:spacing w:after="0"/>
            </w:pPr>
            <w:r>
              <w:rPr>
                <w:b/>
                <w:color w:val="2C4A63"/>
                <w:sz w:val="20"/>
              </w:rPr>
              <w:t>Référence article</w:t>
            </w:r>
          </w:p>
        </w:tc>
        <w:tc>
          <w:tcPr>
            <w:tcW w:type="dxa" w:w="4309"/>
            <w:shd w:fill="E8EDF2"/>
          </w:tcPr>
          <w:p>
            <w:pPr>
              <w:spacing w:after="0"/>
            </w:pPr>
            <w:r>
              <w:rPr>
                <w:b/>
                <w:color w:val="2C4A63"/>
                <w:sz w:val="20"/>
              </w:rPr>
              <w:t>Article</w:t>
            </w:r>
          </w:p>
        </w:tc>
        <w:tc>
          <w:tcPr>
            <w:tcW w:type="dxa" w:w="2268"/>
            <w:shd w:fill="E8EDF2"/>
          </w:tcPr>
          <w:p>
            <w:pPr>
              <w:spacing w:after="0"/>
            </w:pPr>
            <w:r>
              <w:rPr>
                <w:b/>
                <w:color w:val="2C4A63"/>
                <w:sz w:val="20"/>
              </w:rPr>
              <w:t>Quantité entrée</w:t>
            </w:r>
          </w:p>
        </w:tc>
      </w:tr>
      <w:tr>
        <w:trPr>
          <w:trHeight w:val="652"/>
        </w:trPr>
        <w:tc>
          <w:tcPr>
            <w:tcW w:type="dxa" w:w="3061"/>
          </w:tcPr>
          <w:p/>
        </w:tc>
        <w:tc>
          <w:tcPr>
            <w:tcW w:type="dxa" w:w="4309"/>
          </w:tcPr>
          <w:p/>
        </w:tc>
        <w:tc>
          <w:tcPr>
            <w:tcW w:type="dxa" w:w="2268"/>
          </w:tcPr>
          <w:p/>
        </w:tc>
      </w:tr>
      <w:tr>
        <w:trPr>
          <w:trHeight w:val="652"/>
        </w:trPr>
        <w:tc>
          <w:tcPr>
            <w:tcW w:type="dxa" w:w="3061"/>
          </w:tcPr>
          <w:p/>
        </w:tc>
        <w:tc>
          <w:tcPr>
            <w:tcW w:type="dxa" w:w="4309"/>
          </w:tcPr>
          <w:p/>
        </w:tc>
        <w:tc>
          <w:tcPr>
            <w:tcW w:type="dxa" w:w="2268"/>
          </w:tcPr>
          <w:p/>
        </w:tc>
      </w:tr>
      <w:tr>
        <w:trPr>
          <w:trHeight w:val="652"/>
        </w:trPr>
        <w:tc>
          <w:tcPr>
            <w:tcW w:type="dxa" w:w="3061"/>
          </w:tcPr>
          <w:p/>
        </w:tc>
        <w:tc>
          <w:tcPr>
            <w:tcW w:type="dxa" w:w="4309"/>
          </w:tcPr>
          <w:p/>
        </w:tc>
        <w:tc>
          <w:tcPr>
            <w:tcW w:type="dxa" w:w="2268"/>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1F4F7"/>
          </w:tcPr>
          <w:p>
            <w:pPr>
              <w:spacing w:after="0"/>
            </w:pPr>
            <w:r>
              <w:rPr>
                <w:b/>
                <w:color w:val="2C4A63"/>
                <w:sz w:val="20"/>
              </w:rPr>
              <w:t xml:space="preserve">Attention à la date : </w:t>
            </w:r>
            <w:r>
              <w:rPr>
                <w:sz w:val="20"/>
              </w:rPr>
              <w:t>tu devras la recopier dans ton compte rendu de l'étape 7, écrite au format jj/mm/aaaa, par exemple 14/03/2026. Note-la dès maintenant, telle qu'elle s'affiche.</w:t>
            </w:r>
          </w:p>
        </w:tc>
      </w:tr>
    </w:tbl>
    <w:p>
      <w:pPr>
        <w:spacing w:after="40"/>
      </w:pPr>
    </w:p>
    <w:p>
      <w:pPr>
        <w:keepNext/>
        <w:spacing w:before="0" w:after="0"/>
      </w:pPr>
      <w:r>
        <w:br w:type="page"/>
      </w:r>
      <w:r>
        <w:rPr>
          <w:rFonts w:ascii="Consolas" w:hAnsi="Consolas"/>
          <w:b/>
          <w:color w:val="B4530F"/>
          <w:sz w:val="19"/>
        </w:rPr>
        <w:t>ÉTAPE 4</w:t>
      </w:r>
    </w:p>
    <w:p>
      <w:pPr>
        <w:keepNext/>
        <w:spacing w:before="40" w:after="160"/>
      </w:pPr>
      <w:r>
        <w:rPr>
          <w:b/>
          <w:color w:val="2C4A63"/>
          <w:sz w:val="30"/>
        </w:rPr>
        <w:t>Remonter l'aval : où sont parties les paires ?</w:t>
      </w:r>
    </w:p>
    <w:p>
      <w:pPr>
        <w:spacing w:before="0" w:after="120"/>
      </w:pPr>
      <w:r>
        <w:rPr>
          <w:b w:val="0"/>
          <w:color w:val="131A21"/>
          <w:sz w:val="22"/>
        </w:rPr>
        <w:t>Dans le même résultat de .getlot, descends jusqu'au tableau « Sorties ». Chaque ligne est une paire de ce lot qui a quitté l'entrepôt : le logiciel te donne le bon de préparation, la commande, et le client livré. C'est exactement ce que Puma demande.</w:t>
      </w:r>
    </w:p>
    <w:p>
      <w:pPr>
        <w:keepNext/>
        <w:spacing w:after="80"/>
        <w:ind w:left="454" w:hanging="454"/>
      </w:pPr>
      <w:r>
        <w:rPr>
          <w:b/>
          <w:color w:val="2C4A63"/>
          <w:sz w:val="22"/>
        </w:rPr>
        <w:t xml:space="preserve">1.  </w:t>
      </w:r>
      <w:r>
        <w:rPr>
          <w:sz w:val="22"/>
        </w:rPr>
        <w:t>Relis le tableau « Sorties » ligne par ligne.</w:t>
      </w:r>
    </w:p>
    <w:p>
      <w:pPr>
        <w:keepNext/>
        <w:spacing w:after="80"/>
        <w:ind w:left="454" w:hanging="454"/>
      </w:pPr>
      <w:r>
        <w:rPr>
          <w:b/>
          <w:color w:val="2C4A63"/>
          <w:sz w:val="22"/>
        </w:rPr>
        <w:t xml:space="preserve">2.  </w:t>
      </w:r>
      <w:r>
        <w:rPr>
          <w:sz w:val="22"/>
        </w:rPr>
        <w:t>Note, pour chaque ligne, la référence, la quantité, le numéro de commande et le nom du client.</w:t>
      </w:r>
    </w:p>
    <w:p>
      <w:pPr>
        <w:spacing w:after="80"/>
        <w:ind w:left="454" w:hanging="454"/>
      </w:pPr>
      <w:r>
        <w:rPr>
          <w:b/>
          <w:color w:val="2C4A63"/>
          <w:sz w:val="22"/>
        </w:rPr>
        <w:t xml:space="preserve">3.  </w:t>
      </w:r>
      <w:r>
        <w:rPr>
          <w:sz w:val="22"/>
        </w:rPr>
        <w:t>Vérifie le total : entrées moins sorties doit donner le « Reste en stock » affiché en haut.</w:t>
      </w:r>
    </w:p>
    <w:p>
      <w:pPr>
        <w:keepNext/>
        <w:spacing w:before="120" w:after="120"/>
      </w:pPr>
      <w:r>
        <w:rPr>
          <w:b/>
          <w:color w:val="131A21"/>
          <w:sz w:val="21"/>
        </w:rPr>
        <w:t>Relève les sorties du lot :</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381"/>
            <w:shd w:fill="E8EDF2"/>
          </w:tcPr>
          <w:p>
            <w:pPr>
              <w:spacing w:after="0"/>
            </w:pPr>
            <w:r>
              <w:rPr>
                <w:b/>
                <w:color w:val="2C4A63"/>
                <w:sz w:val="20"/>
              </w:rPr>
              <w:t>Référence article</w:t>
            </w:r>
          </w:p>
        </w:tc>
        <w:tc>
          <w:tcPr>
            <w:tcW w:type="dxa" w:w="907"/>
            <w:shd w:fill="E8EDF2"/>
          </w:tcPr>
          <w:p>
            <w:pPr>
              <w:spacing w:after="0"/>
            </w:pPr>
            <w:r>
              <w:rPr>
                <w:b/>
                <w:color w:val="2C4A63"/>
                <w:sz w:val="20"/>
              </w:rPr>
              <w:t>Qté</w:t>
            </w:r>
          </w:p>
        </w:tc>
        <w:tc>
          <w:tcPr>
            <w:tcW w:type="dxa" w:w="2041"/>
            <w:shd w:fill="E8EDF2"/>
          </w:tcPr>
          <w:p>
            <w:pPr>
              <w:spacing w:after="0"/>
            </w:pPr>
            <w:r>
              <w:rPr>
                <w:b/>
                <w:color w:val="2C4A63"/>
                <w:sz w:val="20"/>
              </w:rPr>
              <w:t>Bon de préparation</w:t>
            </w:r>
          </w:p>
        </w:tc>
        <w:tc>
          <w:tcPr>
            <w:tcW w:type="dxa" w:w="1928"/>
            <w:shd w:fill="E8EDF2"/>
          </w:tcPr>
          <w:p>
            <w:pPr>
              <w:spacing w:after="0"/>
            </w:pPr>
            <w:r>
              <w:rPr>
                <w:b/>
                <w:color w:val="2C4A63"/>
                <w:sz w:val="20"/>
              </w:rPr>
              <w:t>N° de commande</w:t>
            </w:r>
          </w:p>
        </w:tc>
        <w:tc>
          <w:tcPr>
            <w:tcW w:type="dxa" w:w="2381"/>
            <w:shd w:fill="E8EDF2"/>
          </w:tcPr>
          <w:p>
            <w:pPr>
              <w:spacing w:after="0"/>
            </w:pPr>
            <w:r>
              <w:rPr>
                <w:b/>
                <w:color w:val="2C4A63"/>
                <w:sz w:val="20"/>
              </w:rPr>
              <w:t>Client livré</w:t>
            </w:r>
          </w:p>
        </w:tc>
      </w:tr>
      <w:tr>
        <w:trPr>
          <w:trHeight w:val="652"/>
        </w:trPr>
        <w:tc>
          <w:tcPr>
            <w:tcW w:type="dxa" w:w="2381"/>
          </w:tcPr>
          <w:p/>
        </w:tc>
        <w:tc>
          <w:tcPr>
            <w:tcW w:type="dxa" w:w="907"/>
          </w:tcPr>
          <w:p/>
        </w:tc>
        <w:tc>
          <w:tcPr>
            <w:tcW w:type="dxa" w:w="2041"/>
          </w:tcPr>
          <w:p/>
        </w:tc>
        <w:tc>
          <w:tcPr>
            <w:tcW w:type="dxa" w:w="1928"/>
          </w:tcPr>
          <w:p/>
        </w:tc>
        <w:tc>
          <w:tcPr>
            <w:tcW w:type="dxa" w:w="2381"/>
          </w:tcPr>
          <w:p/>
        </w:tc>
      </w:tr>
      <w:tr>
        <w:trPr>
          <w:trHeight w:val="652"/>
        </w:trPr>
        <w:tc>
          <w:tcPr>
            <w:tcW w:type="dxa" w:w="2381"/>
          </w:tcPr>
          <w:p/>
        </w:tc>
        <w:tc>
          <w:tcPr>
            <w:tcW w:type="dxa" w:w="907"/>
          </w:tcPr>
          <w:p/>
        </w:tc>
        <w:tc>
          <w:tcPr>
            <w:tcW w:type="dxa" w:w="2041"/>
          </w:tcPr>
          <w:p/>
        </w:tc>
        <w:tc>
          <w:tcPr>
            <w:tcW w:type="dxa" w:w="1928"/>
          </w:tcPr>
          <w:p/>
        </w:tc>
        <w:tc>
          <w:tcPr>
            <w:tcW w:type="dxa" w:w="2381"/>
          </w:tcPr>
          <w:p/>
        </w:tc>
      </w:tr>
      <w:tr>
        <w:trPr>
          <w:trHeight w:val="652"/>
        </w:trPr>
        <w:tc>
          <w:tcPr>
            <w:tcW w:type="dxa" w:w="2381"/>
          </w:tcPr>
          <w:p/>
        </w:tc>
        <w:tc>
          <w:tcPr>
            <w:tcW w:type="dxa" w:w="907"/>
          </w:tcPr>
          <w:p/>
        </w:tc>
        <w:tc>
          <w:tcPr>
            <w:tcW w:type="dxa" w:w="2041"/>
          </w:tcPr>
          <w:p/>
        </w:tc>
        <w:tc>
          <w:tcPr>
            <w:tcW w:type="dxa" w:w="1928"/>
          </w:tcPr>
          <w:p/>
        </w:tc>
        <w:tc>
          <w:tcPr>
            <w:tcW w:type="dxa" w:w="2381"/>
          </w:tcPr>
          <w:p/>
        </w:tc>
      </w:tr>
      <w:tr>
        <w:trPr>
          <w:trHeight w:val="652"/>
        </w:trPr>
        <w:tc>
          <w:tcPr>
            <w:tcW w:type="dxa" w:w="2381"/>
          </w:tcPr>
          <w:p/>
        </w:tc>
        <w:tc>
          <w:tcPr>
            <w:tcW w:type="dxa" w:w="907"/>
          </w:tcPr>
          <w:p/>
        </w:tc>
        <w:tc>
          <w:tcPr>
            <w:tcW w:type="dxa" w:w="2041"/>
          </w:tcPr>
          <w:p/>
        </w:tc>
        <w:tc>
          <w:tcPr>
            <w:tcW w:type="dxa" w:w="1928"/>
          </w:tcPr>
          <w:p/>
        </w:tc>
        <w:tc>
          <w:tcPr>
            <w:tcW w:type="dxa" w:w="2381"/>
          </w:tcPr>
          <w:p/>
        </w:tc>
      </w:tr>
      <w:tr>
        <w:trPr>
          <w:trHeight w:val="652"/>
        </w:trPr>
        <w:tc>
          <w:tcPr>
            <w:tcW w:type="dxa" w:w="2381"/>
          </w:tcPr>
          <w:p/>
        </w:tc>
        <w:tc>
          <w:tcPr>
            <w:tcW w:type="dxa" w:w="907"/>
          </w:tcPr>
          <w:p/>
        </w:tc>
        <w:tc>
          <w:tcPr>
            <w:tcW w:type="dxa" w:w="2041"/>
          </w:tcPr>
          <w:p/>
        </w:tc>
        <w:tc>
          <w:tcPr>
            <w:tcW w:type="dxa" w:w="1928"/>
          </w:tcPr>
          <w:p/>
        </w:tc>
        <w:tc>
          <w:tcPr>
            <w:tcW w:type="dxa" w:w="2381"/>
          </w:tcPr>
          <w:p/>
        </w:tc>
      </w:tr>
    </w:tbl>
    <w:p>
      <w:pPr>
        <w:keepNext/>
        <w:spacing w:after="40"/>
      </w:pP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Combien de clients différents ont reçu des paires de ce lot ?</w:t>
            </w:r>
          </w:p>
          <w:p>
            <w:pPr>
              <w:spacing w:before="0" w:after="80"/>
            </w:pPr>
            <w:r>
              <w:rPr>
                <w:sz w:val="22"/>
              </w:rPr>
            </w:r>
          </w:p>
          <w:p>
            <w:pPr>
              <w:spacing w:before="0" w:after="80"/>
            </w:pPr>
            <w:r>
              <w:rPr>
                <w:sz w:val="22"/>
              </w:rPr>
            </w:r>
          </w:p>
        </w:tc>
      </w:tr>
      <w:tr>
        <w:trPr>
          <w:trHeight w:val="1270"/>
        </w:trPr>
        <w:tc>
          <w:tcPr>
            <w:tcW w:type="dxa" w:w="10086"/>
            <w:shd w:fill="FAFBFC"/>
          </w:tcPr>
          <w:p>
            <w:pPr>
              <w:spacing w:after="80"/>
            </w:pPr>
            <w:r>
              <w:rPr>
                <w:b/>
                <w:sz w:val="21"/>
              </w:rPr>
              <w:t>Sans le numéro de lot, aurait-on pu savoir lesquels ? Explique ce qu'on aurait été obligé de faire.</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B4530F"/>
          <w:sz w:val="19"/>
        </w:rPr>
        <w:t>ÉTAPE 5</w:t>
      </w:r>
    </w:p>
    <w:p>
      <w:pPr>
        <w:keepNext/>
        <w:spacing w:before="40" w:after="160"/>
      </w:pPr>
      <w:r>
        <w:rPr>
          <w:b/>
          <w:color w:val="2C4A63"/>
          <w:sz w:val="30"/>
        </w:rPr>
        <w:t>Compter ce qui reste, référence par référence</w:t>
      </w:r>
    </w:p>
    <w:p>
      <w:pPr>
        <w:spacing w:before="0" w:after="120"/>
      </w:pPr>
      <w:r>
        <w:rPr>
          <w:b w:val="0"/>
          <w:color w:val="131A21"/>
          <w:sz w:val="22"/>
        </w:rPr>
        <w:t>Les paires déjà livrées, Puma s'en occupe. Celles qui sont encore dans l'entrepôt, c'est ton problème : il faut les sortir du stock avant qu'un collègue ne les expédie. Mais attention — le logiciel ne te dira pas combien il en reste. C'est à toi de le calculer, référence par référence.</w:t>
      </w:r>
    </w:p>
    <w:p>
      <w:pPr>
        <w:keepNext/>
        <w:spacing w:after="80"/>
        <w:ind w:left="454" w:hanging="454"/>
      </w:pPr>
      <w:r>
        <w:rPr>
          <w:b/>
          <w:color w:val="2C4A63"/>
          <w:sz w:val="22"/>
        </w:rPr>
        <w:t xml:space="preserve">1.  </w:t>
      </w:r>
      <w:r>
        <w:rPr>
          <w:sz w:val="22"/>
        </w:rPr>
        <w:t>Reprends tes tableaux des étapes 3 et 4.</w:t>
      </w:r>
    </w:p>
    <w:p>
      <w:pPr>
        <w:keepNext/>
        <w:spacing w:after="80"/>
        <w:ind w:left="454" w:hanging="454"/>
      </w:pPr>
      <w:r>
        <w:rPr>
          <w:b/>
          <w:color w:val="2C4A63"/>
          <w:sz w:val="22"/>
        </w:rPr>
        <w:t xml:space="preserve">2.  </w:t>
      </w:r>
      <w:r>
        <w:rPr>
          <w:sz w:val="22"/>
        </w:rPr>
        <w:t>Pour chaque référence : quantité entrée avec ce lot, moins quantité déjà sortie.</w:t>
      </w:r>
    </w:p>
    <w:p>
      <w:pPr>
        <w:spacing w:after="80"/>
        <w:ind w:left="454" w:hanging="454"/>
      </w:pPr>
      <w:r>
        <w:rPr>
          <w:b/>
          <w:color w:val="2C4A63"/>
          <w:sz w:val="22"/>
        </w:rPr>
        <w:t xml:space="preserve">3.  </w:t>
      </w:r>
      <w:r>
        <w:rPr>
          <w:sz w:val="22"/>
        </w:rPr>
        <w:t>Le total de ta colonne « reste à bloquer » doit être égal au « Reste en stock » affiché par .getlot.</w:t>
      </w:r>
    </w:p>
    <w:p>
      <w:pPr>
        <w:keepNext/>
        <w:spacing w:before="120" w:after="120"/>
      </w:pPr>
      <w:r>
        <w:rPr>
          <w:b/>
          <w:color w:val="131A21"/>
          <w:sz w:val="21"/>
        </w:rPr>
        <w:t>Fais ton calcul ici, avant de toucher au stock :</w:t>
      </w:r>
    </w:p>
    <w:tbl>
      <w:tblPr>
        <w:tblStyle w:val="TableGrid"/>
        <w:tblW w:type="auto" w:w="0"/>
        <w:tblLook w:firstColumn="1" w:firstRow="1" w:lastColumn="0" w:lastRow="0" w:noHBand="0" w:noVBand="1" w:val="04A0"/>
      </w:tblPr>
      <w:tblGrid>
        <w:gridCol w:w="2521"/>
        <w:gridCol w:w="2521"/>
        <w:gridCol w:w="2521"/>
        <w:gridCol w:w="2521"/>
      </w:tblGrid>
      <w:tr>
        <w:tc>
          <w:tcPr>
            <w:tcW w:type="dxa" w:w="3061"/>
            <w:shd w:fill="E8EDF2"/>
          </w:tcPr>
          <w:p>
            <w:pPr>
              <w:spacing w:after="0"/>
            </w:pPr>
            <w:r>
              <w:rPr>
                <w:b/>
                <w:color w:val="2C4A63"/>
                <w:sz w:val="20"/>
              </w:rPr>
              <w:t>Référence article</w:t>
            </w:r>
          </w:p>
        </w:tc>
        <w:tc>
          <w:tcPr>
            <w:tcW w:type="dxa" w:w="2211"/>
            <w:shd w:fill="E8EDF2"/>
          </w:tcPr>
          <w:p>
            <w:pPr>
              <w:spacing w:after="0"/>
            </w:pPr>
            <w:r>
              <w:rPr>
                <w:b/>
                <w:color w:val="2C4A63"/>
                <w:sz w:val="20"/>
              </w:rPr>
              <w:t>Entré avec ce lot</w:t>
            </w:r>
          </w:p>
        </w:tc>
        <w:tc>
          <w:tcPr>
            <w:tcW w:type="dxa" w:w="1928"/>
            <w:shd w:fill="E8EDF2"/>
          </w:tcPr>
          <w:p>
            <w:pPr>
              <w:spacing w:after="0"/>
            </w:pPr>
            <w:r>
              <w:rPr>
                <w:b/>
                <w:color w:val="2C4A63"/>
                <w:sz w:val="20"/>
              </w:rPr>
              <w:t>Déjà sorti</w:t>
            </w:r>
          </w:p>
        </w:tc>
        <w:tc>
          <w:tcPr>
            <w:tcW w:type="dxa" w:w="2438"/>
            <w:shd w:fill="E8EDF2"/>
          </w:tcPr>
          <w:p>
            <w:pPr>
              <w:spacing w:after="0"/>
            </w:pPr>
            <w:r>
              <w:rPr>
                <w:b/>
                <w:color w:val="2C4A63"/>
                <w:sz w:val="20"/>
              </w:rPr>
              <w:t>Reste à bloquer</w:t>
            </w:r>
          </w:p>
        </w:tc>
      </w:tr>
      <w:tr>
        <w:trPr>
          <w:trHeight w:val="680"/>
        </w:trPr>
        <w:tc>
          <w:tcPr>
            <w:tcW w:type="dxa" w:w="3061"/>
          </w:tcPr>
          <w:p/>
        </w:tc>
        <w:tc>
          <w:tcPr>
            <w:tcW w:type="dxa" w:w="2211"/>
          </w:tcPr>
          <w:p/>
        </w:tc>
        <w:tc>
          <w:tcPr>
            <w:tcW w:type="dxa" w:w="1928"/>
          </w:tcPr>
          <w:p/>
        </w:tc>
        <w:tc>
          <w:tcPr>
            <w:tcW w:type="dxa" w:w="2438"/>
          </w:tcPr>
          <w:p/>
        </w:tc>
      </w:tr>
      <w:tr>
        <w:trPr>
          <w:trHeight w:val="680"/>
        </w:trPr>
        <w:tc>
          <w:tcPr>
            <w:tcW w:type="dxa" w:w="3061"/>
          </w:tcPr>
          <w:p/>
        </w:tc>
        <w:tc>
          <w:tcPr>
            <w:tcW w:type="dxa" w:w="2211"/>
          </w:tcPr>
          <w:p/>
        </w:tc>
        <w:tc>
          <w:tcPr>
            <w:tcW w:type="dxa" w:w="1928"/>
          </w:tcPr>
          <w:p/>
        </w:tc>
        <w:tc>
          <w:tcPr>
            <w:tcW w:type="dxa" w:w="2438"/>
          </w:tcPr>
          <w:p/>
        </w:tc>
      </w:tr>
      <w:tr>
        <w:trPr>
          <w:trHeight w:val="680"/>
        </w:trPr>
        <w:tc>
          <w:tcPr>
            <w:tcW w:type="dxa" w:w="3061"/>
          </w:tcPr>
          <w:p/>
        </w:tc>
        <w:tc>
          <w:tcPr>
            <w:tcW w:type="dxa" w:w="2211"/>
          </w:tcPr>
          <w:p/>
        </w:tc>
        <w:tc>
          <w:tcPr>
            <w:tcW w:type="dxa" w:w="1928"/>
          </w:tcPr>
          <w:p/>
        </w:tc>
        <w:tc>
          <w:tcPr>
            <w:tcW w:type="dxa" w:w="2438"/>
          </w:tcPr>
          <w:p/>
        </w:tc>
      </w:tr>
      <w:tr>
        <w:trPr>
          <w:trHeight w:val="680"/>
        </w:trPr>
        <w:tc>
          <w:tcPr>
            <w:tcW w:type="dxa" w:w="3061"/>
          </w:tcPr>
          <w:p/>
        </w:tc>
        <w:tc>
          <w:tcPr>
            <w:tcW w:type="dxa" w:w="2211"/>
          </w:tcPr>
          <w:p/>
        </w:tc>
        <w:tc>
          <w:tcPr>
            <w:tcW w:type="dxa" w:w="1928"/>
          </w:tcPr>
          <w:p/>
        </w:tc>
        <w:tc>
          <w:tcPr>
            <w:tcW w:type="dxa" w:w="2438"/>
          </w:tcPr>
          <w:p/>
        </w:tc>
      </w:tr>
    </w:tbl>
    <w:p>
      <w:pPr>
        <w:keepNext/>
        <w:spacing w:after="40"/>
      </w:pP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Compare le stock total d'une de ces références (.getstock suivi de la référence) avec ce qu'il reste du lot. Pourquoi les deux nombres sont-ils différents ?</w:t>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Que se passerait-il si tu bloquais le stock total de la référence au lieu du reste du lot ?</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B4530F"/>
          <w:sz w:val="19"/>
        </w:rPr>
        <w:t>ÉTAPE 6</w:t>
      </w:r>
    </w:p>
    <w:p>
      <w:pPr>
        <w:keepNext/>
        <w:spacing w:before="40" w:after="160"/>
      </w:pPr>
      <w:r>
        <w:rPr>
          <w:b/>
          <w:color w:val="2C4A63"/>
          <w:sz w:val="30"/>
        </w:rPr>
        <w:t>Bloquer le stock restant</w:t>
      </w:r>
    </w:p>
    <w:p>
      <w:pPr>
        <w:spacing w:before="0" w:after="120"/>
      </w:pPr>
      <w:r>
        <w:rPr>
          <w:b w:val="0"/>
          <w:color w:val="131A21"/>
          <w:sz w:val="22"/>
        </w:rPr>
        <w:t>Va dans le menu « Blocage qualité ». Cet écran sort du stock les paires d'un lot précis, et de ce lot seulement : les paires de la même référence arrivées par une autre livraison restent vendables. Tu vas le remplir une fois par référence.</w:t>
      </w:r>
    </w:p>
    <w:p>
      <w:pPr>
        <w:keepNext/>
        <w:spacing w:after="80"/>
        <w:ind w:left="454" w:hanging="454"/>
      </w:pPr>
      <w:r>
        <w:rPr>
          <w:b/>
          <w:color w:val="2C4A63"/>
          <w:sz w:val="22"/>
        </w:rPr>
        <w:t xml:space="preserve">1.  </w:t>
      </w:r>
      <w:r>
        <w:rPr>
          <w:sz w:val="22"/>
        </w:rPr>
        <w:t>Renseigne le numéro de lot, la référence complète, la quantité à bloquer et un motif.</w:t>
      </w:r>
    </w:p>
    <w:p>
      <w:pPr>
        <w:keepNext/>
        <w:spacing w:after="80"/>
        <w:ind w:left="454" w:hanging="454"/>
      </w:pPr>
      <w:r>
        <w:rPr>
          <w:b/>
          <w:color w:val="2C4A63"/>
          <w:sz w:val="22"/>
        </w:rPr>
        <w:t xml:space="preserve">2.  </w:t>
      </w:r>
      <w:r>
        <w:rPr>
          <w:sz w:val="22"/>
        </w:rPr>
        <w:t>Comme motif, écris : blocage qualité, défaut fabricant.</w:t>
      </w:r>
    </w:p>
    <w:p>
      <w:pPr>
        <w:keepNext/>
        <w:spacing w:after="80"/>
        <w:ind w:left="454" w:hanging="454"/>
      </w:pPr>
      <w:r>
        <w:rPr>
          <w:b/>
          <w:color w:val="2C4A63"/>
          <w:sz w:val="22"/>
        </w:rPr>
        <w:t xml:space="preserve">3.  </w:t>
      </w:r>
      <w:r>
        <w:rPr>
          <w:sz w:val="22"/>
        </w:rPr>
        <w:t>Clique sur le bouton, puis recommence avec la référence suivante.</w:t>
      </w:r>
    </w:p>
    <w:p>
      <w:pPr>
        <w:keepNext/>
        <w:spacing w:after="80"/>
        <w:ind w:left="454" w:hanging="454"/>
      </w:pPr>
      <w:r>
        <w:rPr>
          <w:b/>
          <w:color w:val="2C4A63"/>
          <w:sz w:val="22"/>
        </w:rPr>
        <w:t xml:space="preserve">4.  </w:t>
      </w:r>
      <w:r>
        <w:rPr>
          <w:sz w:val="22"/>
        </w:rPr>
        <w:t>Chaque blocage enregistré apparaît dans le tableau du bas : vérifies-y ton travail.</w:t>
      </w:r>
    </w:p>
    <w:tbl>
      <w:tblPr>
        <w:tblStyle w:val="TableGrid"/>
        <w:tblW w:type="auto" w:w="0"/>
        <w:jc w:val="left"/>
        <w:tblLook w:firstColumn="1" w:firstRow="1" w:lastColumn="0" w:lastRow="0" w:noHBand="0" w:noVBand="1" w:val="04A0"/>
      </w:tblPr>
      <w:tblGrid>
        <w:gridCol w:w="10086"/>
      </w:tblGrid>
      <w:tr>
        <w:tc>
          <w:tcPr>
            <w:tcW w:type="dxa" w:w="10086"/>
            <w:shd w:fill="F1F4F7"/>
          </w:tcPr>
          <w:p>
            <w:pPr>
              <w:spacing w:after="0"/>
            </w:pPr>
            <w:r>
              <w:rPr>
                <w:b/>
                <w:color w:val="2C4A63"/>
                <w:sz w:val="20"/>
              </w:rPr>
              <w:t xml:space="preserve">Si le logiciel refuse : </w:t>
            </w:r>
            <w:r>
              <w:rPr>
                <w:sz w:val="20"/>
              </w:rPr>
              <w:t>c'est que la quantité demandée dépasse ce qu'il reste de ce lot, ou que le numéro de lot ou la référence sont mal recopiés. Reprends ton calcul de l'étape 5 et le tableau des entrées de l'étape 3 : le message ne te donnera pas la réponse.</w:t>
            </w:r>
          </w:p>
        </w:tc>
      </w:tr>
    </w:tbl>
    <w:p>
      <w:pPr>
        <w:spacing w:after="40"/>
      </w:pPr>
    </w:p>
    <w:p>
      <w:pPr>
        <w:keepNext/>
        <w:spacing w:after="80"/>
        <w:ind w:left="454" w:hanging="454"/>
      </w:pPr>
      <w:r>
        <w:rPr>
          <w:b/>
          <w:color w:val="2C4A63"/>
          <w:sz w:val="22"/>
        </w:rPr>
        <w:t xml:space="preserve">1.  </w:t>
      </w:r>
      <w:r>
        <w:rPr>
          <w:sz w:val="22"/>
        </w:rPr>
        <w:t>Quand tout est bloqué, retourne dans la Console et tape à nouveau .getlot suivi du numéro de lot.</w:t>
      </w:r>
    </w:p>
    <w:tbl>
      <w:tblPr>
        <w:tblStyle w:val="TableGrid"/>
        <w:tblW w:type="auto" w:w="0"/>
        <w:tblLook w:firstColumn="1" w:firstRow="1" w:lastColumn="0" w:lastRow="0" w:noHBand="0" w:noVBand="1" w:val="04A0"/>
      </w:tblPr>
      <w:tblGrid>
        <w:gridCol w:w="10086"/>
      </w:tblGrid>
      <w:tr>
        <w:trPr>
          <w:trHeight w:val="862"/>
        </w:trPr>
        <w:tc>
          <w:tcPr>
            <w:tcW w:type="dxa" w:w="10086"/>
            <w:shd w:fill="FAFBFC"/>
          </w:tcPr>
          <w:p>
            <w:pPr>
              <w:spacing w:after="80"/>
            </w:pPr>
            <w:r>
              <w:rPr>
                <w:b/>
                <w:sz w:val="21"/>
              </w:rPr>
              <w:t>Que vaut maintenant le « Reste en stock » du lot ?</w:t>
            </w:r>
          </w:p>
          <w:p>
            <w:pPr>
              <w:spacing w:before="0" w:after="80"/>
            </w:pPr>
            <w:r>
              <w:rPr>
                <w:sz w:val="22"/>
              </w:rPr>
            </w:r>
          </w:p>
        </w:tc>
      </w:tr>
      <w:tr>
        <w:trPr>
          <w:trHeight w:val="862"/>
        </w:trPr>
        <w:tc>
          <w:tcPr>
            <w:tcW w:type="dxa" w:w="10086"/>
            <w:shd w:fill="FAFBFC"/>
          </w:tcPr>
          <w:p>
            <w:pPr>
              <w:spacing w:after="80"/>
            </w:pPr>
            <w:r>
              <w:rPr>
                <w:b/>
                <w:sz w:val="21"/>
              </w:rPr>
              <w:t>Quel type de mouvement apparaît dans le tableau des sorties, à côté des ventes ?</w:t>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À quoi sert le motif, plusieurs mois plus tard, quand quelqu'un relit l'historique des mouvements ?</w:t>
            </w:r>
          </w:p>
          <w:p>
            <w:pPr>
              <w:spacing w:before="0" w:after="80"/>
            </w:pPr>
            <w:r>
              <w:rPr>
                <w:sz w:val="22"/>
              </w:rPr>
            </w:r>
          </w:p>
          <w:p>
            <w:pPr>
              <w:spacing w:before="0" w:after="80"/>
            </w:pPr>
            <w:r>
              <w:rPr>
                <w:sz w:val="22"/>
              </w:rPr>
            </w:r>
          </w:p>
        </w:tc>
      </w:tr>
    </w:tbl>
    <w:p>
      <w:pPr>
        <w:spacing w:after="0"/>
      </w:pPr>
      <w:r>
        <w:rPr>
          <w:sz w:val="10"/>
        </w:rPr>
      </w:r>
    </w:p>
    <w:p>
      <w:pPr>
        <w:keepNext/>
        <w:spacing w:before="0" w:after="0"/>
      </w:pPr>
      <w:r>
        <w:br w:type="page"/>
      </w:r>
      <w:r>
        <w:rPr>
          <w:rFonts w:ascii="Consolas" w:hAnsi="Consolas"/>
          <w:b/>
          <w:color w:val="B4530F"/>
          <w:sz w:val="19"/>
        </w:rPr>
        <w:t>ÉTAPE 7</w:t>
      </w:r>
    </w:p>
    <w:p>
      <w:pPr>
        <w:keepNext/>
        <w:spacing w:before="40" w:after="160"/>
      </w:pPr>
      <w:r>
        <w:rPr>
          <w:b/>
          <w:color w:val="2C4A63"/>
          <w:sz w:val="30"/>
        </w:rPr>
        <w:t>Rendre compte à M. Morin</w:t>
      </w:r>
    </w:p>
    <w:p>
      <w:pPr>
        <w:spacing w:before="0" w:after="120"/>
      </w:pPr>
      <w:r>
        <w:rPr>
          <w:b w:val="0"/>
          <w:color w:val="131A21"/>
          <w:sz w:val="22"/>
        </w:rPr>
        <w:t>Il reste le plus important : écrire. Un blocage que personne n'a annoncé ne sert à rien, et c'est ton compte rendu que Puma va lire pour contacter les clients. Tu réponds directement au message de M. Morin.</w:t>
      </w:r>
    </w:p>
    <w:p>
      <w:pPr>
        <w:keepNext/>
        <w:spacing w:after="80"/>
        <w:ind w:left="454" w:hanging="454"/>
      </w:pPr>
      <w:r>
        <w:rPr>
          <w:b/>
          <w:color w:val="2C4A63"/>
          <w:sz w:val="22"/>
        </w:rPr>
        <w:t xml:space="preserve">1.  </w:t>
      </w:r>
      <w:r>
        <w:rPr>
          <w:sz w:val="22"/>
        </w:rPr>
        <w:t>Retourne dans Messagerie et ouvre le message de M. Morin.</w:t>
      </w:r>
    </w:p>
    <w:p>
      <w:pPr>
        <w:keepNext/>
        <w:spacing w:after="80"/>
        <w:ind w:left="454" w:hanging="454"/>
      </w:pPr>
      <w:r>
        <w:rPr>
          <w:b/>
          <w:color w:val="2C4A63"/>
          <w:sz w:val="22"/>
        </w:rPr>
        <w:t xml:space="preserve">2.  </w:t>
      </w:r>
      <w:r>
        <w:rPr>
          <w:sz w:val="22"/>
        </w:rPr>
        <w:t>Clique sur « Répondre ».</w:t>
      </w:r>
    </w:p>
    <w:p>
      <w:pPr>
        <w:keepNext/>
        <w:spacing w:after="80"/>
        <w:ind w:left="454" w:hanging="454"/>
      </w:pPr>
      <w:r>
        <w:rPr>
          <w:b/>
          <w:color w:val="2C4A63"/>
          <w:sz w:val="22"/>
        </w:rPr>
        <w:t xml:space="preserve">3.  </w:t>
      </w:r>
      <w:r>
        <w:rPr>
          <w:sz w:val="22"/>
        </w:rPr>
        <w:t>Recopie ton brouillon, puis envoie.</w:t>
      </w:r>
    </w:p>
    <w:tbl>
      <w:tblPr>
        <w:tblStyle w:val="TableGrid"/>
        <w:tblW w:type="auto" w:w="0"/>
        <w:jc w:val="left"/>
        <w:tblLook w:firstColumn="1" w:firstRow="1" w:lastColumn="0" w:lastRow="0" w:noHBand="0" w:noVBand="1" w:val="04A0"/>
      </w:tblPr>
      <w:tblGrid>
        <w:gridCol w:w="10086"/>
      </w:tblGrid>
      <w:tr>
        <w:tc>
          <w:tcPr>
            <w:tcW w:type="dxa" w:w="10086"/>
            <w:shd w:fill="F1F4F7"/>
          </w:tcPr>
          <w:p>
            <w:pPr>
              <w:spacing w:after="0"/>
            </w:pPr>
            <w:r>
              <w:rPr>
                <w:b/>
                <w:color w:val="2C4A63"/>
                <w:sz w:val="20"/>
              </w:rPr>
              <w:t xml:space="preserve">Attention, à lire avant de rédiger : </w:t>
            </w:r>
            <w:r>
              <w:rPr>
                <w:sz w:val="20"/>
              </w:rPr>
              <w:t>ton compte rendu doit contenir le numéro de lot écrit en entier (tirets compris), la date d'entrée en stock au format jj/mm/aaaa, le nom du fournisseur, et le numéro de chaque commande concernée sous la forme CMD-000000. C'est ce que ton enseignant retrouvera dans son suivi.</w:t>
            </w:r>
          </w:p>
        </w:tc>
      </w:tr>
    </w:tbl>
    <w:p>
      <w:pPr>
        <w:spacing w:after="40"/>
      </w:pPr>
    </w:p>
    <w:p>
      <w:pPr>
        <w:keepNext/>
        <w:spacing w:before="120" w:after="120"/>
      </w:pPr>
      <w:r>
        <w:rPr>
          <w:b/>
          <w:color w:val="131A21"/>
          <w:sz w:val="21"/>
        </w:rPr>
        <w:t>Rédige d'abord ton brouillon ici, puis recopie-le dans la messagerie :</w:t>
      </w:r>
    </w:p>
    <w:tbl>
      <w:tblPr>
        <w:tblStyle w:val="TableGrid"/>
        <w:tblW w:type="auto" w:w="0"/>
        <w:tblLook w:firstColumn="1" w:firstRow="1" w:lastColumn="0" w:lastRow="0" w:noHBand="0" w:noVBand="1" w:val="04A0"/>
      </w:tblPr>
      <w:tblGrid>
        <w:gridCol w:w="10086"/>
      </w:tblGrid>
      <w:tr>
        <w:trPr>
          <w:trHeight w:val="3719"/>
        </w:trPr>
        <w:tc>
          <w:tcPr>
            <w:tcW w:type="dxa" w:w="10086"/>
            <w:shd w:fill="FAFBFC"/>
          </w:tcPr>
          <w:p>
            <w:pPr>
              <w:spacing w:after="80"/>
            </w:pPr>
            <w:r>
              <w:rPr>
                <w:b/>
                <w:sz w:val="21"/>
              </w:rPr>
              <w:t>Brouillon de ton compte rendu à M. Morin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keepNext/>
        <w:spacing w:after="0"/>
      </w:pPr>
      <w:r>
        <w:rPr>
          <w:sz w:val="10"/>
        </w:rPr>
      </w:r>
    </w:p>
    <w:tbl>
      <w:tblPr>
        <w:tblStyle w:val="TableGrid"/>
        <w:tblW w:type="auto" w:w="0"/>
        <w:tblLook w:firstColumn="1" w:firstRow="1" w:lastColumn="0" w:lastRow="0" w:noHBand="0" w:noVBand="1" w:val="04A0"/>
      </w:tblPr>
      <w:tblGrid>
        <w:gridCol w:w="10086"/>
      </w:tblGrid>
      <w:tr>
        <w:trPr>
          <w:trHeight w:val="1270"/>
        </w:trPr>
        <w:tc>
          <w:tcPr>
            <w:tcW w:type="dxa" w:w="10086"/>
            <w:shd w:fill="FAFBFC"/>
          </w:tcPr>
          <w:p>
            <w:pPr>
              <w:spacing w:after="80"/>
            </w:pPr>
            <w:r>
              <w:rPr>
                <w:b/>
                <w:sz w:val="21"/>
              </w:rPr>
              <w:t>Pourquoi le compte rendu doit-il donner les numéros de commande, et pas seulement les noms des clients ?</w:t>
            </w:r>
          </w:p>
          <w:p>
            <w:pPr>
              <w:spacing w:before="0" w:after="80"/>
            </w:pPr>
            <w:r>
              <w:rPr>
                <w:sz w:val="22"/>
              </w:rPr>
            </w:r>
          </w:p>
          <w:p>
            <w:pPr>
              <w:spacing w:before="0" w:after="80"/>
            </w:pPr>
            <w:r>
              <w:rPr>
                <w:sz w:val="22"/>
              </w:rPr>
            </w:r>
          </w:p>
        </w:tc>
      </w:tr>
      <w:tr>
        <w:trPr>
          <w:trHeight w:val="1270"/>
        </w:trPr>
        <w:tc>
          <w:tcPr>
            <w:tcW w:type="dxa" w:w="10086"/>
            <w:shd w:fill="FAFBFC"/>
          </w:tcPr>
          <w:p>
            <w:pPr>
              <w:spacing w:after="80"/>
            </w:pPr>
            <w:r>
              <w:rPr>
                <w:b/>
                <w:sz w:val="21"/>
              </w:rPr>
              <w:t>Que devra faire Spartoo si un client rapporte une paire du lot ? Cite deux actions.</w:t>
            </w:r>
          </w:p>
          <w:p>
            <w:pPr>
              <w:spacing w:before="0" w:after="80"/>
            </w:pPr>
            <w:r>
              <w:rPr>
                <w:sz w:val="22"/>
              </w:rPr>
            </w:r>
          </w:p>
          <w:p>
            <w:pPr>
              <w:spacing w:before="0" w:after="80"/>
            </w:pPr>
            <w:r>
              <w:rPr>
                <w:sz w:val="22"/>
              </w:rPr>
            </w:r>
          </w:p>
        </w:tc>
      </w:tr>
    </w:tbl>
    <w:p>
      <w:pPr>
        <w:spacing w:after="0"/>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31A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