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432000" cy="540000"/>
            <wp:docPr id="2" name="Picture 2"/>
            <wp:cNvGraphicFramePr>
              <a:graphicFrameLocks noChangeAspect="1"/>
            </wp:cNvGraphicFramePr>
            <a:graphic>
              <a:graphicData uri="http://schemas.openxmlformats.org/drawingml/2006/picture">
                <pic:pic>
                  <pic:nvPicPr>
                    <pic:cNvPr id="0" name="picard.png"/>
                    <pic:cNvPicPr/>
                  </pic:nvPicPr>
                  <pic:blipFill>
                    <a:blip r:embed="rId10"/>
                    <a:stretch>
                      <a:fillRect/>
                    </a:stretch>
                  </pic:blipFill>
                  <pic:spPr>
                    <a:xfrm>
                      <a:off x="0" y="0"/>
                      <a:ext cx="432000" cy="540000"/>
                    </a:xfrm>
                    <a:prstGeom prst="rect"/>
                  </pic:spPr>
                </pic:pic>
              </a:graphicData>
            </a:graphic>
          </wp:inline>
        </w:drawing>
      </w:r>
    </w:p>
    <w:p>
      <w:pPr>
        <w:spacing w:after="0"/>
      </w:pPr>
      <w:r>
        <w:rPr>
          <w:b/>
          <w:color w:val="111111"/>
          <w:sz w:val="36"/>
        </w:rPr>
        <w:t>ENT-4.3 — Carnet de suivi : la réception de nuit</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Aujourd'hui, tu ne réceptionnes pas un camion : tu contrôles la réception qu'un collègue a faite cette nuit.</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10 points, qui donnent une note sur 20 : ton diagnostic au chef de quai (5 points), les palettes que tu bloques (2 points) et ton message au transporteur (3 points). Le logiciel lit tes messages ligne par ligne.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Picard, son entrepôt de Sainghin-en-Mélantois et la règle des 3 jours (Code de commerce) sont réels. Mathis, le quai 32, le fournisseur, le transporteur, les produits et les températures sont inventés pour l'exercice.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Ce que dit la loi</w:t>
            </w:r>
          </w:p>
        </w:tc>
        <w:tc>
          <w:tcPr>
            <w:tcW w:type="dxa" w:w="2608"/>
          </w:tcPr>
          <w:p>
            <w:pPr>
              <w:spacing w:after="0"/>
            </w:pPr>
            <w:r>
              <w:rPr>
                <w:sz w:val="20"/>
              </w:rPr>
              <w:t>Sur cette trame</w:t>
            </w:r>
          </w:p>
        </w:tc>
      </w:tr>
      <w:tr>
        <w:trPr>
          <w:trHeight w:val="510"/>
        </w:trPr>
        <w:tc>
          <w:tcPr>
            <w:tcW w:type="dxa" w:w="794"/>
          </w:tcPr>
          <w:p>
            <w:pPr>
              <w:spacing w:after="0"/>
            </w:pPr>
            <w:r>
              <w:rPr>
                <w:sz w:val="20"/>
              </w:rPr>
              <w:t>2</w:t>
            </w:r>
          </w:p>
        </w:tc>
        <w:tc>
          <w:tcPr>
            <w:tcW w:type="dxa" w:w="6236"/>
          </w:tcPr>
          <w:p>
            <w:pPr>
              <w:spacing w:after="0"/>
            </w:pPr>
            <w:r>
              <w:rPr>
                <w:sz w:val="20"/>
              </w:rPr>
              <w:t>Lire les messages</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Contrôler le dossier de Mathis</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Contrôler en chambre froide</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Envoyer ton diagnostic au chef de quai</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Corriger : bloquer et protester</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Lire ton bilan</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Ce que dit la loi</w:t>
      </w:r>
    </w:p>
    <w:p>
      <w:pPr>
        <w:keepNext/>
        <w:spacing w:before="0" w:after="120"/>
      </w:pPr>
      <w:r>
        <w:rPr>
          <w:b w:val="0"/>
          <w:color w:val="1A1A1A"/>
          <w:sz w:val="22"/>
        </w:rPr>
        <w:t>Quand une marchandise arrive abîmée ou incomplète, on peut se retourner contre le transporteur. Mais pas n'importe comment, ni n'importe quand. Voici ce que dit la loi. Lis l'article deux fois : il est écrit en langage juridique.</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80"/>
            </w:pPr>
            <w:r>
              <w:rPr>
                <w:b/>
                <w:color w:val="111111"/>
                <w:sz w:val="21"/>
              </w:rPr>
              <w:t>Code de commerce, article L133-3</w:t>
            </w:r>
          </w:p>
          <w:p>
            <w:pPr>
              <w:keepNext/>
              <w:spacing w:after="80"/>
              <w:ind w:left="227"/>
            </w:pPr>
            <w:r>
              <w:rPr>
                <w:sz w:val="21"/>
              </w:rPr>
              <w:t>La réception des objets transportés éteint toute action contre le voiturier pour avarie ou perte partielle si dans les trois jours, non compris les jours fériés, qui suivent celui de cette réception, le destinataire n'a pas notifié au voiturier, par acte extrajudiciaire ou par lettre recommandée, sa protestation motivée.</w:t>
            </w:r>
          </w:p>
          <w:p>
            <w:pPr>
              <w:keepNext/>
              <w:spacing w:after="80"/>
              <w:ind w:left="227"/>
            </w:pPr>
            <w:r>
              <w:rPr>
                <w:sz w:val="21"/>
              </w:rPr>
              <w:t>Si dans le délai ci-dessus prévu il est formé une demande d'expertise en application de l'article L. 133-4, cette demande vaut protestation sans qu'il soit nécessaire de procéder comme il est dit au premier alinéa.</w:t>
            </w:r>
          </w:p>
          <w:p>
            <w:pPr>
              <w:keepNext/>
              <w:spacing w:after="80"/>
              <w:ind w:left="227"/>
            </w:pPr>
            <w:r>
              <w:rPr>
                <w:sz w:val="21"/>
              </w:rPr>
              <w:t>Toutes stipulations contraires sont nulles et de nul effet. Cette dernière disposition n'est pas applicable aux transports internationaux.</w:t>
            </w:r>
          </w:p>
          <w:p>
            <w:pPr>
              <w:spacing w:after="0"/>
            </w:pPr>
            <w:r>
              <w:rPr>
                <w:color w:val="595959"/>
                <w:sz w:val="17"/>
              </w:rPr>
              <w:t>Version en vigueur depuis le 10/12/2009 (Légifrance). Texte recopié mot pour mot.</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Les mots du texte :</w:t>
            </w:r>
          </w:p>
          <w:p>
            <w:pPr>
              <w:keepNext/>
              <w:spacing w:before="0" w:after="40"/>
              <w:ind w:left="397" w:hanging="227"/>
            </w:pPr>
            <w:r>
              <w:rPr>
                <w:sz w:val="20"/>
              </w:rPr>
              <w:t>•  éteindre une action : on ne peut plus rien réclamer ;</w:t>
            </w:r>
          </w:p>
          <w:p>
            <w:pPr>
              <w:keepNext/>
              <w:spacing w:before="0" w:after="40"/>
              <w:ind w:left="397" w:hanging="227"/>
            </w:pPr>
            <w:r>
              <w:rPr>
                <w:sz w:val="20"/>
              </w:rPr>
              <w:t>•  avarie : marchandise abîmée. Perte partielle : une partie manque ;</w:t>
            </w:r>
          </w:p>
          <w:p>
            <w:pPr>
              <w:keepNext/>
              <w:spacing w:before="0" w:after="40"/>
              <w:ind w:left="397" w:hanging="227"/>
            </w:pPr>
            <w:r>
              <w:rPr>
                <w:sz w:val="20"/>
              </w:rPr>
              <w:t>•  le voiturier : l'ancien nom du transporteur ;</w:t>
            </w:r>
          </w:p>
          <w:p>
            <w:pPr>
              <w:keepNext/>
              <w:spacing w:before="0" w:after="40"/>
              <w:ind w:left="397" w:hanging="227"/>
            </w:pPr>
            <w:r>
              <w:rPr>
                <w:sz w:val="20"/>
              </w:rPr>
              <w:t>•  notifier : faire savoir officiellement, par écrit ;</w:t>
            </w:r>
          </w:p>
          <w:p>
            <w:pPr>
              <w:keepNext/>
              <w:spacing w:before="0" w:after="40"/>
              <w:ind w:left="397" w:hanging="227"/>
            </w:pPr>
            <w:r>
              <w:rPr>
                <w:sz w:val="20"/>
              </w:rPr>
              <w:t>•  acte extrajudiciaire : un acte envoyé par un commissaire de justice (un huissier) ;</w:t>
            </w:r>
          </w:p>
          <w:p>
            <w:pPr>
              <w:spacing w:before="0" w:after="0"/>
              <w:ind w:left="397" w:hanging="227"/>
            </w:pPr>
            <w:r>
              <w:rPr>
                <w:sz w:val="20"/>
              </w:rPr>
              <w:t>•  protestation motivée : une réclamation écrite qui dit précisément ce qui ne va pas.</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En combien de jours faut-il protester ?</w:t>
            </w:r>
          </w:p>
        </w:tc>
        <w:tc>
          <w:tcPr>
            <w:tcW w:type="dxa" w:w="3742"/>
          </w:tcPr>
          <w:p/>
        </w:tc>
      </w:tr>
      <w:tr>
        <w:trPr>
          <w:trHeight w:val="510"/>
          <w:cantSplit/>
        </w:trPr>
        <w:tc>
          <w:tcPr>
            <w:tcW w:type="dxa" w:w="5896"/>
          </w:tcPr>
          <w:p>
            <w:pPr>
              <w:spacing w:after="0"/>
            </w:pPr>
            <w:r>
              <w:rPr>
                <w:sz w:val="20"/>
              </w:rPr>
              <w:t>Les jours fériés comptent-ils ?</w:t>
            </w:r>
          </w:p>
        </w:tc>
        <w:tc>
          <w:tcPr>
            <w:tcW w:type="dxa" w:w="3742"/>
          </w:tcPr>
          <w:p/>
        </w:tc>
      </w:tr>
      <w:tr>
        <w:trPr>
          <w:trHeight w:val="510"/>
          <w:cantSplit/>
        </w:trPr>
        <w:tc>
          <w:tcPr>
            <w:tcW w:type="dxa" w:w="5896"/>
          </w:tcPr>
          <w:p>
            <w:pPr>
              <w:spacing w:after="0"/>
            </w:pPr>
            <w:r>
              <w:rPr>
                <w:sz w:val="20"/>
              </w:rPr>
              <w:t>Par quel moyen faut-il envoyer la protestation ?</w:t>
            </w:r>
          </w:p>
        </w:tc>
        <w:tc>
          <w:tcPr>
            <w:tcW w:type="dxa" w:w="3742"/>
          </w:tcPr>
          <w:p/>
        </w:tc>
      </w:tr>
      <w:tr>
        <w:trPr>
          <w:trHeight w:val="510"/>
          <w:cantSplit/>
        </w:trPr>
        <w:tc>
          <w:tcPr>
            <w:tcW w:type="dxa" w:w="5896"/>
          </w:tcPr>
          <w:p>
            <w:pPr>
              <w:spacing w:after="0"/>
            </w:pPr>
            <w:r>
              <w:rPr>
                <w:sz w:val="20"/>
              </w:rPr>
              <w:t>À qui l'envoie-t-on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Le destinataire n'envoie rien dans le délai. Que se passe-t-il ?</w:t>
            </w:r>
          </w:p>
          <w:p>
            <w:pPr>
              <w:keepNext/>
              <w:spacing w:before="0" w:after="40"/>
              <w:ind w:left="227"/>
            </w:pPr>
            <w:r>
              <w:rPr>
                <w:sz w:val="21"/>
              </w:rPr>
              <w:t>☐  il ne peut plus rien réclamer au transporteur</w:t>
            </w:r>
          </w:p>
          <w:p>
            <w:pPr>
              <w:keepNext/>
              <w:spacing w:before="0" w:after="40"/>
              <w:ind w:left="227"/>
            </w:pPr>
            <w:r>
              <w:rPr>
                <w:sz w:val="21"/>
              </w:rPr>
              <w:t>☐  le transporteur doit quand même payer</w:t>
            </w:r>
          </w:p>
          <w:p>
            <w:pPr>
              <w:spacing w:before="0" w:after="80"/>
              <w:ind w:left="227"/>
            </w:pPr>
            <w:r>
              <w:rPr>
                <w:sz w:val="21"/>
              </w:rPr>
              <w:t>☐  le fournisseur rembourse à la place</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la loi laisse-t-elle si peu de temps pour protester, à ton avis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Lire les messages</w:t>
      </w:r>
    </w:p>
    <w:p>
      <w:pPr>
        <w:keepNext/>
        <w:spacing w:before="0" w:after="120"/>
      </w:pPr>
      <w:r>
        <w:rPr>
          <w:b w:val="0"/>
          <w:color w:val="1A1A1A"/>
          <w:sz w:val="22"/>
        </w:rPr>
        <w:t>Connecte-toi à Prepalog, ouvre la rubrique Logisim, puis l'activité « Picard — la réception de nuit ». Dans le menu de gauche, clique sur « Messagerie ». Trois messages t'attendent. Lis-les tous, dans l'ordre où ils sont arrivés.</w:t>
      </w:r>
    </w:p>
    <w:tbl>
      <w:tblPr>
        <w:tblStyle w:val="TableGrid"/>
        <w:tblW w:type="auto" w:w="0"/>
        <w:tblLayout w:type="fixed"/>
        <w:tblLook w:firstColumn="1" w:firstRow="1" w:lastColumn="0" w:lastRow="0" w:noHBand="0" w:noVBand="1" w:val="04A0"/>
      </w:tblPr>
      <w:tblGrid>
        <w:gridCol w:w="2835"/>
        <w:gridCol w:w="6803"/>
      </w:tblGrid>
      <w:tr>
        <w:tc>
          <w:tcPr>
            <w:tcW w:type="dxa" w:w="2835"/>
            <w:shd w:fill="E8E8E8"/>
          </w:tcPr>
          <w:p>
            <w:pPr>
              <w:keepNext/>
              <w:spacing w:after="0"/>
            </w:pPr>
            <w:r>
              <w:rPr>
                <w:b/>
                <w:color w:val="111111"/>
                <w:sz w:val="20"/>
              </w:rPr>
              <w:t>Qui écrit ?</w:t>
            </w:r>
          </w:p>
        </w:tc>
        <w:tc>
          <w:tcPr>
            <w:tcW w:type="dxa" w:w="6803"/>
            <w:shd w:fill="E8E8E8"/>
          </w:tcPr>
          <w:p>
            <w:pPr>
              <w:keepNext/>
              <w:spacing w:after="0"/>
            </w:pPr>
            <w:r>
              <w:rPr>
                <w:b/>
                <w:color w:val="111111"/>
                <w:sz w:val="20"/>
              </w:rPr>
              <w:t>Ce qu'il dit, en une phrase</w:t>
            </w:r>
          </w:p>
        </w:tc>
      </w:tr>
      <w:tr>
        <w:trPr>
          <w:trHeight w:val="737"/>
        </w:trPr>
        <w:tc>
          <w:tcPr>
            <w:tcW w:type="dxa" w:w="2835"/>
          </w:tcPr>
          <w:p>
            <w:pPr>
              <w:spacing w:after="0"/>
            </w:pPr>
            <w:r>
              <w:rPr>
                <w:sz w:val="20"/>
              </w:rPr>
              <w:t>Transports Givrex</w:t>
            </w:r>
          </w:p>
        </w:tc>
        <w:tc>
          <w:tcPr>
            <w:tcW w:type="dxa" w:w="6803"/>
          </w:tcPr>
          <w:p/>
        </w:tc>
      </w:tr>
      <w:tr>
        <w:trPr>
          <w:trHeight w:val="737"/>
        </w:trPr>
        <w:tc>
          <w:tcPr>
            <w:tcW w:type="dxa" w:w="2835"/>
          </w:tcPr>
          <w:p>
            <w:pPr>
              <w:spacing w:after="0"/>
            </w:pPr>
            <w:r>
              <w:rPr>
                <w:sz w:val="20"/>
              </w:rPr>
              <w:t>Mathis, réceptionnaire de nuit</w:t>
            </w:r>
          </w:p>
        </w:tc>
        <w:tc>
          <w:tcPr>
            <w:tcW w:type="dxa" w:w="6803"/>
          </w:tcPr>
          <w:p/>
        </w:tc>
      </w:tr>
      <w:tr>
        <w:trPr>
          <w:trHeight w:val="737"/>
        </w:trPr>
        <w:tc>
          <w:tcPr>
            <w:tcW w:type="dxa" w:w="2835"/>
          </w:tcPr>
          <w:p>
            <w:pPr>
              <w:spacing w:after="0"/>
            </w:pPr>
            <w:r>
              <w:rPr>
                <w:sz w:val="20"/>
              </w:rPr>
              <w:t>Le chef de quai</w:t>
            </w:r>
          </w:p>
        </w:tc>
        <w:tc>
          <w:tcPr>
            <w:tcW w:type="dxa" w:w="6803"/>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Numéro du bon de livraison</w:t>
            </w:r>
          </w:p>
        </w:tc>
        <w:tc>
          <w:tcPr>
            <w:tcW w:type="dxa" w:w="3742"/>
          </w:tcPr>
          <w:p/>
        </w:tc>
      </w:tr>
      <w:tr>
        <w:trPr>
          <w:trHeight w:val="510"/>
          <w:cantSplit/>
        </w:trPr>
        <w:tc>
          <w:tcPr>
            <w:tcW w:type="dxa" w:w="5896"/>
          </w:tcPr>
          <w:p>
            <w:pPr>
              <w:spacing w:after="0"/>
            </w:pPr>
            <w:r>
              <w:rPr>
                <w:sz w:val="20"/>
              </w:rPr>
              <w:t>À quelle heure Mathis a-t-il réceptionné le camion ?</w:t>
            </w:r>
          </w:p>
        </w:tc>
        <w:tc>
          <w:tcPr>
            <w:tcW w:type="dxa" w:w="3742"/>
          </w:tcPr>
          <w:p/>
        </w:tc>
      </w:tr>
      <w:tr>
        <w:trPr>
          <w:trHeight w:val="510"/>
          <w:cantSplit/>
        </w:trPr>
        <w:tc>
          <w:tcPr>
            <w:tcW w:type="dxa" w:w="5896"/>
          </w:tcPr>
          <w:p>
            <w:pPr>
              <w:spacing w:after="0"/>
            </w:pPr>
            <w:r>
              <w:rPr>
                <w:sz w:val="20"/>
              </w:rPr>
              <w:t>Où sont les palettes maintenant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La séance se fait en deux temps :</w:t>
            </w:r>
          </w:p>
          <w:p>
            <w:pPr>
              <w:keepNext/>
              <w:spacing w:before="0" w:after="40"/>
              <w:ind w:left="397" w:hanging="227"/>
            </w:pPr>
            <w:r>
              <w:rPr>
                <w:sz w:val="20"/>
              </w:rPr>
              <w:t>•  temps 1, contrôler : le dossier de Mathis est verrouillé. Tu regardes, tu recomptes, tu ne corriges rien ;</w:t>
            </w:r>
          </w:p>
          <w:p>
            <w:pPr>
              <w:keepNext/>
              <w:spacing w:before="0" w:after="40"/>
              <w:ind w:left="397" w:hanging="227"/>
            </w:pPr>
            <w:r>
              <w:rPr>
                <w:sz w:val="20"/>
              </w:rPr>
              <w:t>•  tu réponds au chef de quai : ton diagnostic ;</w:t>
            </w:r>
          </w:p>
          <w:p>
            <w:pPr>
              <w:spacing w:before="0" w:after="0"/>
              <w:ind w:left="397" w:hanging="227"/>
            </w:pPr>
            <w:r>
              <w:rPr>
                <w:sz w:val="20"/>
              </w:rPr>
              <w:t>•  temps 2, corriger : sa réponse te déverrouille le dossier.</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Avant d'ouvrir le dossier, quelle pièce vas-tu regarder en premier ? Explique ton choix.</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Contrôler le dossier de Mathis</w:t>
      </w:r>
    </w:p>
    <w:p>
      <w:pPr>
        <w:spacing w:before="0" w:after="120"/>
      </w:pPr>
      <w:r>
        <w:rPr>
          <w:b w:val="0"/>
          <w:color w:val="1A1A1A"/>
          <w:sz w:val="22"/>
        </w:rPr>
        <w:t>Dans le menu de gauche, clique sur « Quai de réception ». Tu dois voir le bandeau « Temps 1 — Contrôler » et deux onglets. Reste sur l'onglet « Le dossier de Mathis » : le BL signé, le ticket de l'enregistreur et sa fiche de comptage et de sonde.</w:t>
      </w:r>
    </w:p>
    <w:p>
      <w:pPr>
        <w:keepNext/>
        <w:spacing w:after="80"/>
        <w:ind w:left="454" w:hanging="454"/>
      </w:pPr>
      <w:r>
        <w:rPr>
          <w:b/>
          <w:color w:val="111111"/>
          <w:sz w:val="22"/>
        </w:rPr>
        <w:t xml:space="preserve">1.  </w:t>
      </w:r>
      <w:r>
        <w:rPr>
          <w:sz w:val="22"/>
        </w:rPr>
        <w:t>Recopie dans le tableau ce que dit le BL, puis ce que Mathis a noté sur sa fiche.</w:t>
      </w:r>
    </w:p>
    <w:p>
      <w:pPr>
        <w:keepNext/>
        <w:spacing w:after="80"/>
        <w:ind w:left="454" w:hanging="454"/>
      </w:pPr>
      <w:r>
        <w:rPr>
          <w:b/>
          <w:color w:val="111111"/>
          <w:sz w:val="22"/>
        </w:rPr>
        <w:t xml:space="preserve">2.  </w:t>
      </w:r>
      <w:r>
        <w:rPr>
          <w:sz w:val="22"/>
        </w:rPr>
        <w:t>Dans la dernière colonne, note ce qui t'interroge (ou rien).</w:t>
      </w:r>
    </w:p>
    <w:p>
      <w:pPr>
        <w:keepNext/>
        <w:spacing w:after="80"/>
        <w:ind w:left="454" w:hanging="454"/>
      </w:pPr>
      <w:r>
        <w:rPr>
          <w:b/>
          <w:color w:val="111111"/>
          <w:sz w:val="22"/>
        </w:rPr>
        <w:t xml:space="preserve">3.  </w:t>
      </w:r>
      <w:r>
        <w:rPr>
          <w:sz w:val="22"/>
        </w:rPr>
        <w:t>Lis ensuite le ticket et la réserve écrite sur le BL.</w:t>
      </w:r>
    </w:p>
    <w:tbl>
      <w:tblPr>
        <w:tblStyle w:val="TableGrid"/>
        <w:tblW w:type="auto" w:w="0"/>
        <w:tblLayout w:type="fixed"/>
        <w:tblLook w:firstColumn="1" w:firstRow="1" w:lastColumn="0" w:lastRow="0" w:noHBand="0" w:noVBand="1" w:val="04A0"/>
      </w:tblPr>
      <w:tblGrid>
        <w:gridCol w:w="964"/>
        <w:gridCol w:w="1247"/>
        <w:gridCol w:w="1361"/>
        <w:gridCol w:w="1474"/>
        <w:gridCol w:w="1587"/>
        <w:gridCol w:w="3005"/>
      </w:tblGrid>
      <w:tr>
        <w:tc>
          <w:tcPr>
            <w:tcW w:type="dxa" w:w="964"/>
            <w:shd w:fill="E8E8E8"/>
          </w:tcPr>
          <w:p>
            <w:pPr>
              <w:keepNext/>
              <w:spacing w:after="0"/>
            </w:pPr>
            <w:r>
              <w:rPr>
                <w:b/>
                <w:color w:val="111111"/>
                <w:sz w:val="20"/>
              </w:rPr>
              <w:t>Palette</w:t>
            </w:r>
          </w:p>
        </w:tc>
        <w:tc>
          <w:tcPr>
            <w:tcW w:type="dxa" w:w="1247"/>
            <w:shd w:fill="E8E8E8"/>
          </w:tcPr>
          <w:p>
            <w:pPr>
              <w:keepNext/>
              <w:spacing w:after="0"/>
            </w:pPr>
            <w:r>
              <w:rPr>
                <w:b/>
                <w:color w:val="111111"/>
                <w:sz w:val="20"/>
              </w:rPr>
              <w:t>BL (cartons)</w:t>
            </w:r>
          </w:p>
        </w:tc>
        <w:tc>
          <w:tcPr>
            <w:tcW w:type="dxa" w:w="1361"/>
            <w:shd w:fill="E8E8E8"/>
          </w:tcPr>
          <w:p>
            <w:pPr>
              <w:keepNext/>
              <w:spacing w:after="0"/>
            </w:pPr>
            <w:r>
              <w:rPr>
                <w:b/>
                <w:color w:val="111111"/>
                <w:sz w:val="20"/>
              </w:rPr>
              <w:t>Fiche : cartons</w:t>
            </w:r>
          </w:p>
        </w:tc>
        <w:tc>
          <w:tcPr>
            <w:tcW w:type="dxa" w:w="1474"/>
            <w:shd w:fill="E8E8E8"/>
          </w:tcPr>
          <w:p>
            <w:pPr>
              <w:keepNext/>
              <w:spacing w:after="0"/>
            </w:pPr>
            <w:r>
              <w:rPr>
                <w:b/>
                <w:color w:val="111111"/>
                <w:sz w:val="20"/>
              </w:rPr>
              <w:t>Fiche : T° à cœur</w:t>
            </w:r>
          </w:p>
        </w:tc>
        <w:tc>
          <w:tcPr>
            <w:tcW w:type="dxa" w:w="1587"/>
            <w:shd w:fill="E8E8E8"/>
          </w:tcPr>
          <w:p>
            <w:pPr>
              <w:keepNext/>
              <w:spacing w:after="0"/>
            </w:pPr>
            <w:r>
              <w:rPr>
                <w:b/>
                <w:color w:val="111111"/>
                <w:sz w:val="20"/>
              </w:rPr>
              <w:t>Décision de Mathis</w:t>
            </w:r>
          </w:p>
        </w:tc>
        <w:tc>
          <w:tcPr>
            <w:tcW w:type="dxa" w:w="3005"/>
            <w:shd w:fill="E8E8E8"/>
          </w:tcPr>
          <w:p>
            <w:pPr>
              <w:keepNext/>
              <w:spacing w:after="0"/>
            </w:pPr>
            <w:r>
              <w:rPr>
                <w:b/>
                <w:color w:val="111111"/>
                <w:sz w:val="20"/>
              </w:rPr>
              <w:t>Ce qui t'interroge</w:t>
            </w:r>
          </w:p>
        </w:tc>
      </w:tr>
      <w:tr>
        <w:trPr>
          <w:trHeight w:val="595"/>
        </w:trPr>
        <w:tc>
          <w:tcPr>
            <w:tcW w:type="dxa" w:w="964"/>
          </w:tcPr>
          <w:p>
            <w:pPr>
              <w:spacing w:after="0"/>
            </w:pPr>
            <w:r>
              <w:rPr>
                <w:sz w:val="20"/>
              </w:rPr>
              <w:t>N1</w:t>
            </w:r>
          </w:p>
        </w:tc>
        <w:tc>
          <w:tcPr>
            <w:tcW w:type="dxa" w:w="1247"/>
          </w:tcPr>
          <w:p/>
        </w:tc>
        <w:tc>
          <w:tcPr>
            <w:tcW w:type="dxa" w:w="1361"/>
          </w:tcPr>
          <w:p/>
        </w:tc>
        <w:tc>
          <w:tcPr>
            <w:tcW w:type="dxa" w:w="1474"/>
          </w:tcPr>
          <w:p/>
        </w:tc>
        <w:tc>
          <w:tcPr>
            <w:tcW w:type="dxa" w:w="1587"/>
          </w:tcPr>
          <w:p/>
        </w:tc>
        <w:tc>
          <w:tcPr>
            <w:tcW w:type="dxa" w:w="3005"/>
          </w:tcPr>
          <w:p/>
        </w:tc>
      </w:tr>
      <w:tr>
        <w:trPr>
          <w:trHeight w:val="595"/>
        </w:trPr>
        <w:tc>
          <w:tcPr>
            <w:tcW w:type="dxa" w:w="964"/>
          </w:tcPr>
          <w:p>
            <w:pPr>
              <w:spacing w:after="0"/>
            </w:pPr>
            <w:r>
              <w:rPr>
                <w:sz w:val="20"/>
              </w:rPr>
              <w:t>N2</w:t>
            </w:r>
          </w:p>
        </w:tc>
        <w:tc>
          <w:tcPr>
            <w:tcW w:type="dxa" w:w="1247"/>
          </w:tcPr>
          <w:p/>
        </w:tc>
        <w:tc>
          <w:tcPr>
            <w:tcW w:type="dxa" w:w="1361"/>
          </w:tcPr>
          <w:p/>
        </w:tc>
        <w:tc>
          <w:tcPr>
            <w:tcW w:type="dxa" w:w="1474"/>
          </w:tcPr>
          <w:p/>
        </w:tc>
        <w:tc>
          <w:tcPr>
            <w:tcW w:type="dxa" w:w="1587"/>
          </w:tcPr>
          <w:p/>
        </w:tc>
        <w:tc>
          <w:tcPr>
            <w:tcW w:type="dxa" w:w="3005"/>
          </w:tcPr>
          <w:p/>
        </w:tc>
      </w:tr>
      <w:tr>
        <w:trPr>
          <w:trHeight w:val="595"/>
        </w:trPr>
        <w:tc>
          <w:tcPr>
            <w:tcW w:type="dxa" w:w="964"/>
          </w:tcPr>
          <w:p>
            <w:pPr>
              <w:spacing w:after="0"/>
            </w:pPr>
            <w:r>
              <w:rPr>
                <w:sz w:val="20"/>
              </w:rPr>
              <w:t>N3</w:t>
            </w:r>
          </w:p>
        </w:tc>
        <w:tc>
          <w:tcPr>
            <w:tcW w:type="dxa" w:w="1247"/>
          </w:tcPr>
          <w:p/>
        </w:tc>
        <w:tc>
          <w:tcPr>
            <w:tcW w:type="dxa" w:w="1361"/>
          </w:tcPr>
          <w:p/>
        </w:tc>
        <w:tc>
          <w:tcPr>
            <w:tcW w:type="dxa" w:w="1474"/>
          </w:tcPr>
          <w:p/>
        </w:tc>
        <w:tc>
          <w:tcPr>
            <w:tcW w:type="dxa" w:w="1587"/>
          </w:tcPr>
          <w:p/>
        </w:tc>
        <w:tc>
          <w:tcPr>
            <w:tcW w:type="dxa" w:w="3005"/>
          </w:tcPr>
          <w:p/>
        </w:tc>
      </w:tr>
      <w:tr>
        <w:trPr>
          <w:trHeight w:val="595"/>
        </w:trPr>
        <w:tc>
          <w:tcPr>
            <w:tcW w:type="dxa" w:w="964"/>
          </w:tcPr>
          <w:p>
            <w:pPr>
              <w:spacing w:after="0"/>
            </w:pPr>
            <w:r>
              <w:rPr>
                <w:sz w:val="20"/>
              </w:rPr>
              <w:t>N4</w:t>
            </w:r>
          </w:p>
        </w:tc>
        <w:tc>
          <w:tcPr>
            <w:tcW w:type="dxa" w:w="1247"/>
          </w:tcPr>
          <w:p/>
        </w:tc>
        <w:tc>
          <w:tcPr>
            <w:tcW w:type="dxa" w:w="1361"/>
          </w:tcPr>
          <w:p/>
        </w:tc>
        <w:tc>
          <w:tcPr>
            <w:tcW w:type="dxa" w:w="1474"/>
          </w:tcPr>
          <w:p/>
        </w:tc>
        <w:tc>
          <w:tcPr>
            <w:tcW w:type="dxa" w:w="1587"/>
          </w:tcPr>
          <w:p/>
        </w:tc>
        <w:tc>
          <w:tcPr>
            <w:tcW w:type="dxa" w:w="3005"/>
          </w:tcPr>
          <w:p/>
        </w:tc>
      </w:tr>
      <w:tr>
        <w:trPr>
          <w:trHeight w:val="595"/>
        </w:trPr>
        <w:tc>
          <w:tcPr>
            <w:tcW w:type="dxa" w:w="964"/>
          </w:tcPr>
          <w:p>
            <w:pPr>
              <w:spacing w:after="0"/>
            </w:pPr>
            <w:r>
              <w:rPr>
                <w:sz w:val="20"/>
              </w:rPr>
              <w:t>N5</w:t>
            </w:r>
          </w:p>
        </w:tc>
        <w:tc>
          <w:tcPr>
            <w:tcW w:type="dxa" w:w="1247"/>
          </w:tcPr>
          <w:p/>
        </w:tc>
        <w:tc>
          <w:tcPr>
            <w:tcW w:type="dxa" w:w="1361"/>
          </w:tcPr>
          <w:p/>
        </w:tc>
        <w:tc>
          <w:tcPr>
            <w:tcW w:type="dxa" w:w="1474"/>
          </w:tcPr>
          <w:p/>
        </w:tc>
        <w:tc>
          <w:tcPr>
            <w:tcW w:type="dxa" w:w="1587"/>
          </w:tcPr>
          <w:p/>
        </w:tc>
        <w:tc>
          <w:tcPr>
            <w:tcW w:type="dxa" w:w="3005"/>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Entre quelles heures la température de l'air dépasse-t-elle la consigne de −20 °C ?</w:t>
            </w:r>
          </w:p>
        </w:tc>
        <w:tc>
          <w:tcPr>
            <w:tcW w:type="dxa" w:w="3742"/>
          </w:tcPr>
          <w:p/>
        </w:tc>
      </w:tr>
      <w:tr>
        <w:trPr>
          <w:trHeight w:val="510"/>
          <w:cantSplit/>
        </w:trPr>
        <w:tc>
          <w:tcPr>
            <w:tcW w:type="dxa" w:w="5896"/>
          </w:tcPr>
          <w:p>
            <w:pPr>
              <w:spacing w:after="0"/>
            </w:pPr>
            <w:r>
              <w:rPr>
                <w:sz w:val="20"/>
              </w:rPr>
              <w:t>Quelle est la température la plus haute du ticket ?</w:t>
            </w:r>
          </w:p>
        </w:tc>
        <w:tc>
          <w:tcPr>
            <w:tcW w:type="dxa" w:w="3742"/>
          </w:tcPr>
          <w:p/>
        </w:tc>
      </w:tr>
      <w:tr>
        <w:trPr>
          <w:trHeight w:val="510"/>
          <w:cantSplit/>
        </w:trPr>
        <w:tc>
          <w:tcPr>
            <w:tcW w:type="dxa" w:w="5896"/>
          </w:tcPr>
          <w:p>
            <w:pPr>
              <w:spacing w:after="0"/>
            </w:pPr>
            <w:r>
              <w:rPr>
                <w:sz w:val="20"/>
              </w:rPr>
              <w:t>Quelle réserve Mathis a-t-il écrite sur le BL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Rappel — règle du quai pour la température à cœur :</w:t>
            </w:r>
          </w:p>
          <w:p>
            <w:pPr>
              <w:keepNext/>
              <w:spacing w:before="0" w:after="40"/>
              <w:ind w:left="397" w:hanging="227"/>
            </w:pPr>
            <w:r>
              <w:rPr>
                <w:sz w:val="20"/>
              </w:rPr>
              <w:t>•  −18 °C ou plus froid : on accepte ;</w:t>
            </w:r>
          </w:p>
          <w:p>
            <w:pPr>
              <w:keepNext/>
              <w:spacing w:before="0" w:after="40"/>
              <w:ind w:left="397" w:hanging="227"/>
            </w:pPr>
            <w:r>
              <w:rPr>
                <w:sz w:val="20"/>
              </w:rPr>
              <w:t>•  entre −18 °C et −15 °C : on accepte avec réserves ;</w:t>
            </w:r>
          </w:p>
          <w:p>
            <w:pPr>
              <w:spacing w:before="0" w:after="0"/>
              <w:ind w:left="397" w:hanging="227"/>
            </w:pPr>
            <w:r>
              <w:rPr>
                <w:sz w:val="20"/>
              </w:rPr>
              <w:t>•  plus chaud que −15 °C : on refuse.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Quelle ligne de la fiche de Mathis t'a paru la plus suspecte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Contrôler en chambre froide</w:t>
      </w:r>
    </w:p>
    <w:p>
      <w:pPr>
        <w:spacing w:before="0" w:after="120"/>
      </w:pPr>
      <w:r>
        <w:rPr>
          <w:b w:val="0"/>
          <w:color w:val="1A1A1A"/>
          <w:sz w:val="22"/>
        </w:rPr>
        <w:t>Clique sur l'onglet « En chambre froide ». Les cinq palettes y sont, avec un onglet par palette (N1… N5). Tu peux refaire les gestes de la réception, sans les payer en temps : les palettes sont au froid.</w:t>
      </w:r>
    </w:p>
    <w:p>
      <w:pPr>
        <w:keepNext/>
        <w:spacing w:after="80"/>
        <w:ind w:left="454" w:hanging="454"/>
      </w:pPr>
      <w:r>
        <w:rPr>
          <w:b/>
          <w:color w:val="111111"/>
          <w:sz w:val="22"/>
        </w:rPr>
        <w:t xml:space="preserve">1.  </w:t>
      </w:r>
      <w:r>
        <w:rPr>
          <w:sz w:val="22"/>
        </w:rPr>
        <w:t>Pour chaque palette : fais le tour complet, puis compte les cartons.</w:t>
      </w:r>
    </w:p>
    <w:p>
      <w:pPr>
        <w:keepNext/>
        <w:spacing w:after="80"/>
        <w:ind w:left="454" w:hanging="454"/>
      </w:pPr>
      <w:r>
        <w:rPr>
          <w:b/>
          <w:color w:val="111111"/>
          <w:sz w:val="22"/>
        </w:rPr>
        <w:t xml:space="preserve">2.  </w:t>
      </w:r>
      <w:r>
        <w:rPr>
          <w:sz w:val="22"/>
        </w:rPr>
        <w:t>Écris ton total et clique sur « Noter mon comptage ».</w:t>
      </w:r>
    </w:p>
    <w:p>
      <w:pPr>
        <w:keepNext/>
        <w:spacing w:after="80"/>
        <w:ind w:left="454" w:hanging="454"/>
      </w:pPr>
      <w:r>
        <w:rPr>
          <w:b/>
          <w:color w:val="111111"/>
          <w:sz w:val="22"/>
        </w:rPr>
        <w:t xml:space="preserve">3.  </w:t>
      </w:r>
      <w:r>
        <w:rPr>
          <w:sz w:val="22"/>
        </w:rPr>
        <w:t>Clique sur « Sonder à cœur » et sur l'étiquette d'un carton.</w:t>
      </w:r>
    </w:p>
    <w:p>
      <w:pPr>
        <w:keepNext/>
        <w:spacing w:after="80"/>
        <w:ind w:left="454" w:hanging="454"/>
      </w:pPr>
      <w:r>
        <w:rPr>
          <w:b/>
          <w:color w:val="111111"/>
          <w:sz w:val="22"/>
        </w:rPr>
        <w:t xml:space="preserve">4.  </w:t>
      </w:r>
      <w:r>
        <w:rPr>
          <w:sz w:val="22"/>
        </w:rPr>
        <w:t>Remplis le tableau.</w:t>
      </w:r>
    </w:p>
    <w:tbl>
      <w:tblPr>
        <w:tblStyle w:val="TableGrid"/>
        <w:tblW w:type="auto" w:w="0"/>
        <w:tblLayout w:type="fixed"/>
        <w:tblLook w:firstColumn="1" w:firstRow="1" w:lastColumn="0" w:lastRow="0" w:noHBand="0" w:noVBand="1" w:val="04A0"/>
      </w:tblPr>
      <w:tblGrid>
        <w:gridCol w:w="964"/>
        <w:gridCol w:w="1587"/>
        <w:gridCol w:w="1587"/>
        <w:gridCol w:w="1134"/>
        <w:gridCol w:w="2041"/>
        <w:gridCol w:w="2324"/>
      </w:tblGrid>
      <w:tr>
        <w:tc>
          <w:tcPr>
            <w:tcW w:type="dxa" w:w="964"/>
            <w:shd w:fill="E8E8E8"/>
          </w:tcPr>
          <w:p>
            <w:pPr>
              <w:keepNext/>
              <w:spacing w:after="0"/>
            </w:pPr>
            <w:r>
              <w:rPr>
                <w:b/>
                <w:color w:val="111111"/>
                <w:sz w:val="20"/>
              </w:rPr>
              <w:t>Palette</w:t>
            </w:r>
          </w:p>
        </w:tc>
        <w:tc>
          <w:tcPr>
            <w:tcW w:type="dxa" w:w="1587"/>
            <w:shd w:fill="E8E8E8"/>
          </w:tcPr>
          <w:p>
            <w:pPr>
              <w:keepNext/>
              <w:spacing w:after="0"/>
            </w:pPr>
            <w:r>
              <w:rPr>
                <w:b/>
                <w:color w:val="111111"/>
                <w:sz w:val="20"/>
              </w:rPr>
              <w:t>Ton comptage</w:t>
            </w:r>
          </w:p>
        </w:tc>
        <w:tc>
          <w:tcPr>
            <w:tcW w:type="dxa" w:w="1587"/>
            <w:shd w:fill="E8E8E8"/>
          </w:tcPr>
          <w:p>
            <w:pPr>
              <w:keepNext/>
              <w:spacing w:after="0"/>
            </w:pPr>
            <w:r>
              <w:rPr>
                <w:b/>
                <w:color w:val="111111"/>
                <w:sz w:val="20"/>
              </w:rPr>
              <w:t>Fiche de Mathis</w:t>
            </w:r>
          </w:p>
        </w:tc>
        <w:tc>
          <w:tcPr>
            <w:tcW w:type="dxa" w:w="1134"/>
            <w:shd w:fill="E8E8E8"/>
          </w:tcPr>
          <w:p>
            <w:pPr>
              <w:keepNext/>
              <w:spacing w:after="0"/>
            </w:pPr>
            <w:r>
              <w:rPr>
                <w:b/>
                <w:color w:val="111111"/>
                <w:sz w:val="20"/>
              </w:rPr>
              <w:t>BL</w:t>
            </w:r>
          </w:p>
        </w:tc>
        <w:tc>
          <w:tcPr>
            <w:tcW w:type="dxa" w:w="2041"/>
            <w:shd w:fill="E8E8E8"/>
          </w:tcPr>
          <w:p>
            <w:pPr>
              <w:keepNext/>
              <w:spacing w:after="0"/>
            </w:pPr>
            <w:r>
              <w:rPr>
                <w:b/>
                <w:color w:val="111111"/>
                <w:sz w:val="20"/>
              </w:rPr>
              <w:t>T° à cœur aujourd'hui</w:t>
            </w:r>
          </w:p>
        </w:tc>
        <w:tc>
          <w:tcPr>
            <w:tcW w:type="dxa" w:w="2324"/>
            <w:shd w:fill="E8E8E8"/>
          </w:tcPr>
          <w:p>
            <w:pPr>
              <w:keepNext/>
              <w:spacing w:after="0"/>
            </w:pPr>
            <w:r>
              <w:rPr>
                <w:b/>
                <w:color w:val="111111"/>
                <w:sz w:val="20"/>
              </w:rPr>
              <w:t>Étiquette = BL ?</w:t>
            </w:r>
          </w:p>
        </w:tc>
      </w:tr>
      <w:tr>
        <w:trPr>
          <w:trHeight w:val="595"/>
        </w:trPr>
        <w:tc>
          <w:tcPr>
            <w:tcW w:type="dxa" w:w="964"/>
          </w:tcPr>
          <w:p>
            <w:pPr>
              <w:spacing w:after="0"/>
            </w:pPr>
            <w:r>
              <w:rPr>
                <w:sz w:val="20"/>
              </w:rPr>
              <w:t>N1</w:t>
            </w:r>
          </w:p>
        </w:tc>
        <w:tc>
          <w:tcPr>
            <w:tcW w:type="dxa" w:w="1587"/>
          </w:tcPr>
          <w:p/>
        </w:tc>
        <w:tc>
          <w:tcPr>
            <w:tcW w:type="dxa" w:w="1587"/>
          </w:tcPr>
          <w:p/>
        </w:tc>
        <w:tc>
          <w:tcPr>
            <w:tcW w:type="dxa" w:w="1134"/>
          </w:tcPr>
          <w:p/>
        </w:tc>
        <w:tc>
          <w:tcPr>
            <w:tcW w:type="dxa" w:w="2041"/>
          </w:tcPr>
          <w:p/>
        </w:tc>
        <w:tc>
          <w:tcPr>
            <w:tcW w:type="dxa" w:w="2324"/>
          </w:tcPr>
          <w:p/>
        </w:tc>
      </w:tr>
      <w:tr>
        <w:trPr>
          <w:trHeight w:val="595"/>
        </w:trPr>
        <w:tc>
          <w:tcPr>
            <w:tcW w:type="dxa" w:w="964"/>
          </w:tcPr>
          <w:p>
            <w:pPr>
              <w:spacing w:after="0"/>
            </w:pPr>
            <w:r>
              <w:rPr>
                <w:sz w:val="20"/>
              </w:rPr>
              <w:t>N2</w:t>
            </w:r>
          </w:p>
        </w:tc>
        <w:tc>
          <w:tcPr>
            <w:tcW w:type="dxa" w:w="1587"/>
          </w:tcPr>
          <w:p/>
        </w:tc>
        <w:tc>
          <w:tcPr>
            <w:tcW w:type="dxa" w:w="1587"/>
          </w:tcPr>
          <w:p/>
        </w:tc>
        <w:tc>
          <w:tcPr>
            <w:tcW w:type="dxa" w:w="1134"/>
          </w:tcPr>
          <w:p/>
        </w:tc>
        <w:tc>
          <w:tcPr>
            <w:tcW w:type="dxa" w:w="2041"/>
          </w:tcPr>
          <w:p/>
        </w:tc>
        <w:tc>
          <w:tcPr>
            <w:tcW w:type="dxa" w:w="2324"/>
          </w:tcPr>
          <w:p/>
        </w:tc>
      </w:tr>
      <w:tr>
        <w:trPr>
          <w:trHeight w:val="595"/>
        </w:trPr>
        <w:tc>
          <w:tcPr>
            <w:tcW w:type="dxa" w:w="964"/>
          </w:tcPr>
          <w:p>
            <w:pPr>
              <w:spacing w:after="0"/>
            </w:pPr>
            <w:r>
              <w:rPr>
                <w:sz w:val="20"/>
              </w:rPr>
              <w:t>N3</w:t>
            </w:r>
          </w:p>
        </w:tc>
        <w:tc>
          <w:tcPr>
            <w:tcW w:type="dxa" w:w="1587"/>
          </w:tcPr>
          <w:p/>
        </w:tc>
        <w:tc>
          <w:tcPr>
            <w:tcW w:type="dxa" w:w="1587"/>
          </w:tcPr>
          <w:p/>
        </w:tc>
        <w:tc>
          <w:tcPr>
            <w:tcW w:type="dxa" w:w="1134"/>
          </w:tcPr>
          <w:p/>
        </w:tc>
        <w:tc>
          <w:tcPr>
            <w:tcW w:type="dxa" w:w="2041"/>
          </w:tcPr>
          <w:p/>
        </w:tc>
        <w:tc>
          <w:tcPr>
            <w:tcW w:type="dxa" w:w="2324"/>
          </w:tcPr>
          <w:p/>
        </w:tc>
      </w:tr>
      <w:tr>
        <w:trPr>
          <w:trHeight w:val="595"/>
        </w:trPr>
        <w:tc>
          <w:tcPr>
            <w:tcW w:type="dxa" w:w="964"/>
          </w:tcPr>
          <w:p>
            <w:pPr>
              <w:spacing w:after="0"/>
            </w:pPr>
            <w:r>
              <w:rPr>
                <w:sz w:val="20"/>
              </w:rPr>
              <w:t>N4</w:t>
            </w:r>
          </w:p>
        </w:tc>
        <w:tc>
          <w:tcPr>
            <w:tcW w:type="dxa" w:w="1587"/>
          </w:tcPr>
          <w:p/>
        </w:tc>
        <w:tc>
          <w:tcPr>
            <w:tcW w:type="dxa" w:w="1587"/>
          </w:tcPr>
          <w:p/>
        </w:tc>
        <w:tc>
          <w:tcPr>
            <w:tcW w:type="dxa" w:w="1134"/>
          </w:tcPr>
          <w:p/>
        </w:tc>
        <w:tc>
          <w:tcPr>
            <w:tcW w:type="dxa" w:w="2041"/>
          </w:tcPr>
          <w:p/>
        </w:tc>
        <w:tc>
          <w:tcPr>
            <w:tcW w:type="dxa" w:w="2324"/>
          </w:tcPr>
          <w:p/>
        </w:tc>
      </w:tr>
      <w:tr>
        <w:trPr>
          <w:trHeight w:val="595"/>
        </w:trPr>
        <w:tc>
          <w:tcPr>
            <w:tcW w:type="dxa" w:w="964"/>
          </w:tcPr>
          <w:p>
            <w:pPr>
              <w:spacing w:after="0"/>
            </w:pPr>
            <w:r>
              <w:rPr>
                <w:sz w:val="20"/>
              </w:rPr>
              <w:t>N5</w:t>
            </w:r>
          </w:p>
        </w:tc>
        <w:tc>
          <w:tcPr>
            <w:tcW w:type="dxa" w:w="1587"/>
          </w:tcPr>
          <w:p/>
        </w:tc>
        <w:tc>
          <w:tcPr>
            <w:tcW w:type="dxa" w:w="1587"/>
          </w:tcPr>
          <w:p/>
        </w:tc>
        <w:tc>
          <w:tcPr>
            <w:tcW w:type="dxa" w:w="1134"/>
          </w:tcPr>
          <w:p/>
        </w:tc>
        <w:tc>
          <w:tcPr>
            <w:tcW w:type="dxa" w:w="2041"/>
          </w:tcPr>
          <w:p/>
        </w:tc>
        <w:tc>
          <w:tcPr>
            <w:tcW w:type="dxa" w:w="2324"/>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Bon à savoir : </w:t>
            </w:r>
            <w:r>
              <w:rPr>
                <w:sz w:val="20"/>
              </w:rPr>
              <w:t>un surgelé qui s'est réchauffé puis a été remis au froid a perdu sa qualité, même s'il est redevenu bien froid. Le lendemain, la sonde ne voit plus rien.</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sous ton comptage, le chiffre de la fiche de Mathis et celui du BL, pour comparer ;</w:t>
            </w:r>
          </w:p>
          <w:p>
            <w:pPr>
              <w:spacing w:before="0" w:after="0"/>
              <w:ind w:left="397" w:hanging="227"/>
            </w:pPr>
            <w:r>
              <w:rPr>
                <w:sz w:val="20"/>
              </w:rPr>
              <w:t>•  pas de bouton pour bloquer : au temps 1, tu ne corriges rien.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Ta sonde d'aujourd'hui et la fiche de Mathis ne donnent pas la même température. Laquelle des deux prouve ce qui s'est passé cette nuit, selon toi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Envoyer ton diagnostic au chef de quai</w:t>
      </w:r>
    </w:p>
    <w:p>
      <w:pPr>
        <w:keepNext/>
        <w:spacing w:before="0" w:after="120"/>
      </w:pPr>
      <w:r>
        <w:rPr>
          <w:b w:val="0"/>
          <w:color w:val="1A1A1A"/>
          <w:sz w:val="22"/>
        </w:rPr>
        <w:t>En haut du quai, clique sur « Messagerie ». Ouvre le message du chef de quai, puis clique sur « Répondre ». Les cinq lignes sont déjà écrites : complète chacune après les deux-points. Prépare d'abord ta réponse ici.</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Le logiciel lit ta réponse ligne par ligne. Pour qu'il te comprenne :</w:t>
            </w:r>
          </w:p>
          <w:p>
            <w:pPr>
              <w:keepNext/>
              <w:spacing w:before="0" w:after="40"/>
              <w:ind w:left="397" w:hanging="227"/>
            </w:pPr>
            <w:r>
              <w:rPr>
                <w:sz w:val="20"/>
              </w:rPr>
              <w:t>•  garde le début de chaque ligne tel qu'il est (« Palette acceptée à tort : » …) ;</w:t>
            </w:r>
          </w:p>
          <w:p>
            <w:pPr>
              <w:keepNext/>
              <w:spacing w:before="0" w:after="40"/>
              <w:ind w:left="397" w:hanging="227"/>
            </w:pPr>
            <w:r>
              <w:rPr>
                <w:sz w:val="20"/>
              </w:rPr>
              <w:t>•  écris les palettes comme sur le BL : N1, N2, N3, N4, N5 ;</w:t>
            </w:r>
          </w:p>
          <w:p>
            <w:pPr>
              <w:keepNext/>
              <w:spacing w:before="0" w:after="40"/>
              <w:ind w:left="397" w:hanging="227"/>
            </w:pPr>
            <w:r>
              <w:rPr>
                <w:sz w:val="20"/>
              </w:rPr>
              <w:t>•  écris les nombres en chiffres ;</w:t>
            </w:r>
          </w:p>
          <w:p>
            <w:pPr>
              <w:spacing w:before="0" w:after="0"/>
              <w:ind w:left="397" w:hanging="227"/>
            </w:pPr>
            <w:r>
              <w:rPr>
                <w:sz w:val="20"/>
              </w:rPr>
              <w:t>•  n'accuse pas une palette conforme : une palette accusée reste accusée, même si tu renvoies un message.</w:t>
            </w:r>
          </w:p>
        </w:tc>
      </w:tr>
    </w:tbl>
    <w:p>
      <w:pPr>
        <w:keepNext/>
        <w:spacing w:after="40"/>
      </w:pPr>
    </w:p>
    <w:tbl>
      <w:tblPr>
        <w:tblStyle w:val="TableGrid"/>
        <w:tblW w:type="auto" w:w="0"/>
        <w:tblLayout w:type="fixed"/>
        <w:tblLook w:firstColumn="1" w:firstRow="1" w:lastColumn="0" w:lastRow="0" w:noHBand="0" w:noVBand="1" w:val="04A0"/>
      </w:tblPr>
      <w:tblGrid>
        <w:gridCol w:w="2835"/>
        <w:gridCol w:w="6803"/>
      </w:tblGrid>
      <w:tr>
        <w:tc>
          <w:tcPr>
            <w:tcW w:type="dxa" w:w="2835"/>
            <w:shd w:fill="E8E8E8"/>
          </w:tcPr>
          <w:p>
            <w:pPr>
              <w:keepNext/>
              <w:spacing w:after="0"/>
            </w:pPr>
            <w:r>
              <w:rPr>
                <w:b/>
                <w:color w:val="111111"/>
                <w:sz w:val="20"/>
              </w:rPr>
              <w:t>Ligne du message</w:t>
            </w:r>
          </w:p>
        </w:tc>
        <w:tc>
          <w:tcPr>
            <w:tcW w:type="dxa" w:w="6803"/>
            <w:shd w:fill="E8E8E8"/>
          </w:tcPr>
          <w:p>
            <w:pPr>
              <w:keepNext/>
              <w:spacing w:after="0"/>
            </w:pPr>
            <w:r>
              <w:rPr>
                <w:b/>
                <w:color w:val="111111"/>
                <w:sz w:val="20"/>
              </w:rPr>
              <w:t>Ce que tu écris après les deux-points</w:t>
            </w:r>
          </w:p>
        </w:tc>
      </w:tr>
      <w:tr>
        <w:trPr>
          <w:trHeight w:val="850"/>
        </w:trPr>
        <w:tc>
          <w:tcPr>
            <w:tcW w:type="dxa" w:w="2835"/>
          </w:tcPr>
          <w:p>
            <w:pPr>
              <w:spacing w:after="0"/>
            </w:pPr>
            <w:r>
              <w:rPr>
                <w:sz w:val="20"/>
              </w:rPr>
              <w:t>Palette acceptée à tort :</w:t>
            </w:r>
          </w:p>
        </w:tc>
        <w:tc>
          <w:tcPr>
            <w:tcW w:type="dxa" w:w="6803"/>
          </w:tcPr>
          <w:p/>
        </w:tc>
      </w:tr>
      <w:tr>
        <w:trPr>
          <w:trHeight w:val="850"/>
        </w:trPr>
        <w:tc>
          <w:tcPr>
            <w:tcW w:type="dxa" w:w="2835"/>
          </w:tcPr>
          <w:p>
            <w:pPr>
              <w:spacing w:after="0"/>
            </w:pPr>
            <w:r>
              <w:rPr>
                <w:sz w:val="20"/>
              </w:rPr>
              <w:t>Preuve :</w:t>
            </w:r>
          </w:p>
        </w:tc>
        <w:tc>
          <w:tcPr>
            <w:tcW w:type="dxa" w:w="6803"/>
          </w:tcPr>
          <w:p/>
        </w:tc>
      </w:tr>
      <w:tr>
        <w:trPr>
          <w:trHeight w:val="850"/>
        </w:trPr>
        <w:tc>
          <w:tcPr>
            <w:tcW w:type="dxa" w:w="2835"/>
          </w:tcPr>
          <w:p>
            <w:pPr>
              <w:spacing w:after="0"/>
            </w:pPr>
            <w:r>
              <w:rPr>
                <w:sz w:val="20"/>
              </w:rPr>
              <w:t>Manquant :</w:t>
            </w:r>
          </w:p>
        </w:tc>
        <w:tc>
          <w:tcPr>
            <w:tcW w:type="dxa" w:w="6803"/>
          </w:tcPr>
          <w:p/>
        </w:tc>
      </w:tr>
      <w:tr>
        <w:trPr>
          <w:trHeight w:val="850"/>
        </w:trPr>
        <w:tc>
          <w:tcPr>
            <w:tcW w:type="dxa" w:w="2835"/>
          </w:tcPr>
          <w:p>
            <w:pPr>
              <w:spacing w:after="0"/>
            </w:pPr>
            <w:r>
              <w:rPr>
                <w:sz w:val="20"/>
              </w:rPr>
              <w:t>Réserve :</w:t>
            </w:r>
          </w:p>
        </w:tc>
        <w:tc>
          <w:tcPr>
            <w:tcW w:type="dxa" w:w="6803"/>
          </w:tcPr>
          <w:p/>
        </w:tc>
      </w:tr>
      <w:tr>
        <w:trPr>
          <w:trHeight w:val="850"/>
        </w:trPr>
        <w:tc>
          <w:tcPr>
            <w:tcW w:type="dxa" w:w="2835"/>
          </w:tcPr>
          <w:p>
            <w:pPr>
              <w:spacing w:after="0"/>
            </w:pPr>
            <w:r>
              <w:rPr>
                <w:sz w:val="20"/>
              </w:rPr>
              <w:t>Délai :</w:t>
            </w:r>
          </w:p>
        </w:tc>
        <w:tc>
          <w:tcPr>
            <w:tcW w:type="dxa" w:w="6803"/>
          </w:tcPr>
          <w:p/>
        </w:tc>
      </w:tr>
    </w:tbl>
    <w:p>
      <w:pPr>
        <w:spacing w:after="40"/>
      </w:pPr>
    </w:p>
    <w:p>
      <w:pPr>
        <w:keepNext/>
        <w:spacing w:before="0" w:after="80"/>
      </w:pPr>
      <w:r>
        <w:rPr>
          <w:b w:val="0"/>
          <w:color w:val="1A1A1A"/>
          <w:sz w:val="22"/>
        </w:rPr>
        <w:t>Recopie tes lignes dans la réponse, relis-les, puis clique sur « Envoyer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dans « Réception », la réponse du chef de quai : « Re : réception de nuit » ;</w:t>
            </w:r>
          </w:p>
          <w:p>
            <w:pPr>
              <w:keepNext/>
              <w:spacing w:before="0" w:after="40"/>
              <w:ind w:left="397" w:hanging="227"/>
            </w:pPr>
            <w:r>
              <w:rPr>
                <w:sz w:val="20"/>
              </w:rPr>
              <w:t>•  au quai, le bandeau « Temps 2 — Corriger ».</w:t>
            </w:r>
          </w:p>
          <w:p>
            <w:pPr>
              <w:spacing w:before="0" w:after="0"/>
              <w:ind w:left="397" w:hanging="227"/>
            </w:pPr>
            <w:r>
              <w:rPr>
                <w:sz w:val="20"/>
              </w:rPr>
              <w:t>•  Sa réponse ne dit pas si ton diagnostic est juste : tu le sauras dans le bilan.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la ligne « Délai », comment as-tu su si l'on était encore dans les temps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Corriger : bloquer et protester</w:t>
      </w:r>
    </w:p>
    <w:p>
      <w:pPr>
        <w:keepNext/>
        <w:spacing w:before="0" w:after="120"/>
      </w:pPr>
      <w:r>
        <w:rPr>
          <w:b w:val="0"/>
          <w:color w:val="1A1A1A"/>
          <w:sz w:val="22"/>
        </w:rPr>
        <w:t>Lis la réponse du chef de quai. Le dossier est maintenant à toi. Deux choses à faire, s'il le faut : bloquer, et protester auprès du transporteur.</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Bloquer une palette : </w:t>
            </w:r>
            <w:r>
              <w:rPr>
                <w:sz w:val="20"/>
              </w:rPr>
              <w:t>la mettre à part avec l'étiquette « Bloqué — qualité ». Elle ne part plus en magasin tant que le service qualité n'a pas décidé. On ne bloque que ce qui est douteux.</w:t>
            </w:r>
          </w:p>
        </w:tc>
      </w:tr>
    </w:tbl>
    <w:p>
      <w:pPr>
        <w:spacing w:after="40"/>
      </w:pPr>
    </w:p>
    <w:p>
      <w:pPr>
        <w:keepNext/>
        <w:spacing w:after="80"/>
        <w:ind w:left="454" w:hanging="454"/>
      </w:pPr>
      <w:r>
        <w:rPr>
          <w:b/>
          <w:color w:val="111111"/>
          <w:sz w:val="22"/>
        </w:rPr>
        <w:t xml:space="preserve">1.  </w:t>
      </w:r>
      <w:r>
        <w:rPr>
          <w:sz w:val="22"/>
        </w:rPr>
        <w:t>Au quai, onglet « En chambre froide » : choisis la palette, puis clique sur « Bloquer … — qualité ».</w:t>
      </w:r>
    </w:p>
    <w:p>
      <w:pPr>
        <w:keepNext/>
        <w:spacing w:after="80"/>
        <w:ind w:left="454" w:hanging="454"/>
      </w:pPr>
      <w:r>
        <w:rPr>
          <w:b/>
          <w:color w:val="111111"/>
          <w:sz w:val="22"/>
        </w:rPr>
        <w:t xml:space="preserve">2.  </w:t>
      </w:r>
      <w:r>
        <w:rPr>
          <w:sz w:val="22"/>
        </w:rPr>
        <w:t>Dans la Messagerie, ouvre l'« Avis de livraison » de Transports Givrex et clique sur « Répondre ».</w:t>
      </w:r>
    </w:p>
    <w:p>
      <w:pPr>
        <w:keepNext/>
        <w:spacing w:after="80"/>
        <w:ind w:left="454" w:hanging="454"/>
      </w:pPr>
      <w:r>
        <w:rPr>
          <w:b/>
          <w:color w:val="111111"/>
          <w:sz w:val="22"/>
        </w:rPr>
        <w:t xml:space="preserve">3.  </w:t>
      </w:r>
      <w:r>
        <w:rPr>
          <w:sz w:val="22"/>
        </w:rPr>
        <w:t>Complète les cinq lignes déjà écrites. Prépare-les d'abord ci-dessous.</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Pour que le logiciel te comprenne :</w:t>
            </w:r>
          </w:p>
          <w:p>
            <w:pPr>
              <w:keepNext/>
              <w:spacing w:before="0" w:after="40"/>
              <w:ind w:left="397" w:hanging="227"/>
            </w:pPr>
            <w:r>
              <w:rPr>
                <w:sz w:val="20"/>
              </w:rPr>
              <w:t>•  la date en chiffres, jour puis mois puis année : par exemple 21/11/2026 ;</w:t>
            </w:r>
          </w:p>
          <w:p>
            <w:pPr>
              <w:keepNext/>
              <w:spacing w:before="0" w:after="40"/>
              <w:ind w:left="397" w:hanging="227"/>
            </w:pPr>
            <w:r>
              <w:rPr>
                <w:sz w:val="20"/>
              </w:rPr>
              <w:t>•  les palettes comme sur le BL (N1… N5), les quantités en chiffres ;</w:t>
            </w:r>
          </w:p>
          <w:p>
            <w:pPr>
              <w:spacing w:before="0" w:after="0"/>
              <w:ind w:left="397" w:hanging="227"/>
            </w:pPr>
            <w:r>
              <w:rPr>
                <w:sz w:val="20"/>
              </w:rPr>
              <w:t>•  « Constat : » dit ce qui ne va pas pour chaque palette citée.</w:t>
            </w:r>
          </w:p>
        </w:tc>
      </w:tr>
    </w:tbl>
    <w:p>
      <w:pPr>
        <w:keepNext/>
        <w:spacing w:after="40"/>
      </w:pPr>
    </w:p>
    <w:tbl>
      <w:tblPr>
        <w:tblStyle w:val="TableGrid"/>
        <w:tblW w:type="auto" w:w="0"/>
        <w:tblLayout w:type="fixed"/>
        <w:tblLook w:firstColumn="1" w:firstRow="1" w:lastColumn="0" w:lastRow="0" w:noHBand="0" w:noVBand="1" w:val="04A0"/>
      </w:tblPr>
      <w:tblGrid>
        <w:gridCol w:w="2835"/>
        <w:gridCol w:w="6803"/>
      </w:tblGrid>
      <w:tr>
        <w:tc>
          <w:tcPr>
            <w:tcW w:type="dxa" w:w="2835"/>
            <w:shd w:fill="E8E8E8"/>
          </w:tcPr>
          <w:p>
            <w:pPr>
              <w:keepNext/>
              <w:spacing w:after="0"/>
            </w:pPr>
            <w:r>
              <w:rPr>
                <w:b/>
                <w:color w:val="111111"/>
                <w:sz w:val="20"/>
              </w:rPr>
              <w:t>Ligne du message</w:t>
            </w:r>
          </w:p>
        </w:tc>
        <w:tc>
          <w:tcPr>
            <w:tcW w:type="dxa" w:w="6803"/>
            <w:shd w:fill="E8E8E8"/>
          </w:tcPr>
          <w:p>
            <w:pPr>
              <w:keepNext/>
              <w:spacing w:after="0"/>
            </w:pPr>
            <w:r>
              <w:rPr>
                <w:b/>
                <w:color w:val="111111"/>
                <w:sz w:val="20"/>
              </w:rPr>
              <w:t>Ce que tu écris après les deux-points</w:t>
            </w:r>
          </w:p>
        </w:tc>
      </w:tr>
      <w:tr>
        <w:trPr>
          <w:trHeight w:val="794"/>
        </w:trPr>
        <w:tc>
          <w:tcPr>
            <w:tcW w:type="dxa" w:w="2835"/>
          </w:tcPr>
          <w:p>
            <w:pPr>
              <w:spacing w:after="0"/>
            </w:pPr>
            <w:r>
              <w:rPr>
                <w:sz w:val="20"/>
              </w:rPr>
              <w:t>BL :</w:t>
            </w:r>
          </w:p>
        </w:tc>
        <w:tc>
          <w:tcPr>
            <w:tcW w:type="dxa" w:w="6803"/>
          </w:tcPr>
          <w:p/>
        </w:tc>
      </w:tr>
      <w:tr>
        <w:trPr>
          <w:trHeight w:val="794"/>
        </w:trPr>
        <w:tc>
          <w:tcPr>
            <w:tcW w:type="dxa" w:w="2835"/>
          </w:tcPr>
          <w:p>
            <w:pPr>
              <w:spacing w:after="0"/>
            </w:pPr>
            <w:r>
              <w:rPr>
                <w:sz w:val="20"/>
              </w:rPr>
              <w:t>Réceptionné le :</w:t>
            </w:r>
          </w:p>
        </w:tc>
        <w:tc>
          <w:tcPr>
            <w:tcW w:type="dxa" w:w="6803"/>
          </w:tcPr>
          <w:p/>
        </w:tc>
      </w:tr>
      <w:tr>
        <w:trPr>
          <w:trHeight w:val="794"/>
        </w:trPr>
        <w:tc>
          <w:tcPr>
            <w:tcW w:type="dxa" w:w="2835"/>
          </w:tcPr>
          <w:p>
            <w:pPr>
              <w:spacing w:after="0"/>
            </w:pPr>
            <w:r>
              <w:rPr>
                <w:sz w:val="20"/>
              </w:rPr>
              <w:t>Palette :</w:t>
            </w:r>
          </w:p>
        </w:tc>
        <w:tc>
          <w:tcPr>
            <w:tcW w:type="dxa" w:w="6803"/>
          </w:tcPr>
          <w:p/>
        </w:tc>
      </w:tr>
      <w:tr>
        <w:trPr>
          <w:trHeight w:val="794"/>
        </w:trPr>
        <w:tc>
          <w:tcPr>
            <w:tcW w:type="dxa" w:w="2835"/>
          </w:tcPr>
          <w:p>
            <w:pPr>
              <w:spacing w:after="0"/>
            </w:pPr>
            <w:r>
              <w:rPr>
                <w:sz w:val="20"/>
              </w:rPr>
              <w:t>Constat :</w:t>
            </w:r>
          </w:p>
        </w:tc>
        <w:tc>
          <w:tcPr>
            <w:tcW w:type="dxa" w:w="6803"/>
          </w:tcPr>
          <w:p/>
        </w:tc>
      </w:tr>
      <w:tr>
        <w:trPr>
          <w:trHeight w:val="794"/>
        </w:trPr>
        <w:tc>
          <w:tcPr>
            <w:tcW w:type="dxa" w:w="2835"/>
          </w:tcPr>
          <w:p>
            <w:pPr>
              <w:spacing w:after="0"/>
            </w:pPr>
            <w:r>
              <w:rPr>
                <w:sz w:val="20"/>
              </w:rPr>
              <w:t>Quantité :</w:t>
            </w:r>
          </w:p>
        </w:tc>
        <w:tc>
          <w:tcPr>
            <w:tcW w:type="dxa" w:w="6803"/>
          </w:tcPr>
          <w:p/>
        </w:tc>
      </w:tr>
    </w:tbl>
    <w:p>
      <w:pPr>
        <w:spacing w:after="40"/>
      </w:pPr>
    </w:p>
    <w:p>
      <w:pPr>
        <w:keepNext/>
        <w:pageBreakBefore/>
        <w:spacing w:before="0" w:after="80"/>
      </w:pPr>
      <w:r>
        <w:rPr>
          <w:b w:val="0"/>
          <w:color w:val="1A1A1A"/>
          <w:sz w:val="22"/>
        </w:rPr>
        <w:t>Envoie ton message. Retourne au quai et clique sur « J'ai terminé », en bas, puis confirme.</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la palette bloquée, rangée dans la « Zone de blocage qualité » ;</w:t>
            </w:r>
          </w:p>
          <w:p>
            <w:pPr>
              <w:spacing w:before="0" w:after="0"/>
              <w:ind w:left="397" w:hanging="227"/>
            </w:pPr>
            <w:r>
              <w:rPr>
                <w:sz w:val="20"/>
              </w:rPr>
              <w:t>•  après « J'ai terminé », le dossier se fige et ton bilan s'affiche en bas.</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Quelle palette as-tu bloquée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as-tu bloqué cette palette, alors que sa température est bonne aujourd'hui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Lire ton bilan</w:t>
      </w:r>
    </w:p>
    <w:p>
      <w:pPr>
        <w:keepNext/>
        <w:spacing w:before="0" w:after="120"/>
      </w:pPr>
      <w:r>
        <w:rPr>
          <w:b w:val="0"/>
          <w:color w:val="1A1A1A"/>
          <w:sz w:val="22"/>
        </w:rPr>
        <w:t>Le « Bilan de ton contrôle » compare, ligne par ligne, ce que tu as fait et ce qui était attendu. Lis-le en entier.</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Combien de lignes sont marquées « ✗ à revoir » ?</w:t>
            </w:r>
          </w:p>
        </w:tc>
        <w:tc>
          <w:tcPr>
            <w:tcW w:type="dxa" w:w="3742"/>
          </w:tcPr>
          <w:p/>
        </w:tc>
      </w:tr>
      <w:tr>
        <w:trPr>
          <w:trHeight w:val="510"/>
          <w:cantSplit/>
        </w:trPr>
        <w:tc>
          <w:tcPr>
            <w:tcW w:type="dxa" w:w="5896"/>
          </w:tcPr>
          <w:p>
            <w:pPr>
              <w:spacing w:after="0"/>
            </w:pPr>
            <w:r>
              <w:rPr>
                <w:sz w:val="20"/>
              </w:rPr>
              <w:t>Dans la vraie vie, comment doit partir ta protestation ?</w:t>
            </w:r>
          </w:p>
        </w:tc>
        <w:tc>
          <w:tcPr>
            <w:tcW w:type="dxa" w:w="3742"/>
          </w:tcPr>
          <w:p/>
        </w:tc>
      </w:tr>
      <w:tr>
        <w:trPr>
          <w:trHeight w:val="510"/>
          <w:cantSplit/>
        </w:trPr>
        <w:tc>
          <w:tcPr>
            <w:tcW w:type="dxa" w:w="5896"/>
          </w:tcPr>
          <w:p>
            <w:pPr>
              <w:spacing w:after="0"/>
            </w:pPr>
            <w:r>
              <w:rPr>
                <w:sz w:val="20"/>
              </w:rPr>
              <w:t>Avant quelle date doit-elle partir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Qu'as-tu trouvé grâce aux documents, et que la chambre froide ne pouvait pas te montrer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Si tu étais Mathis, que changerais-tu à ta façon de travailler la nuit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Choisis une ligne « à revoir » de ton bilan (ou, si tout est juste, ta preuve la plus solide). Qu'aurais-tu fait autrement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