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738F5540" w:rsidR="000A3BF3" w:rsidRDefault="004824F7" w:rsidP="00572306">
      <w:pPr>
        <w:pStyle w:val="a3"/>
        <w:rPr>
          <w:rFonts w:ascii="仿宋_GB2312" w:eastAsia="仿宋_GB2312" w:hAnsi="仿宋_GB2312"/>
        </w:rPr>
      </w:pPr>
      <w:r w:rsidRPr="00452903">
        <w:rPr>
          <w:rFonts w:ascii="仿宋_GB2312" w:eastAsia="仿宋_GB2312" w:hAnsi="仿宋_GB2312" w:hint="eastAsia"/>
        </w:rPr>
        <w:t>束流瞄准算法</w:t>
      </w:r>
    </w:p>
    <w:p w14:paraId="2BBD0B6F" w14:textId="77777777" w:rsidR="00BD4FD4" w:rsidRDefault="007D0D5F" w:rsidP="00727CCB">
      <w:pPr>
        <w:spacing w:after="0" w:line="579" w:lineRule="exact"/>
        <w:ind w:firstLineChars="200" w:firstLine="440"/>
      </w:pPr>
      <w:r>
        <w:rPr>
          <w:rFonts w:hint="eastAsia"/>
        </w:rPr>
        <w:t>在空间中，即使是微弱的地磁场也可以对电子束的运动轨迹产生显著影响。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spacing w:after="0" w:line="579" w:lineRule="exact"/>
        <w:ind w:firstLineChars="200" w:firstLine="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spacing w:after="0" w:line="579" w:lineRule="exact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的电子束，其回转半径如下表：</w:t>
      </w:r>
      <w:r w:rsidR="00D068DC">
        <w:rPr>
          <w:rFonts w:hint="eastAsia"/>
        </w:rPr>
        <w:t xml:space="preserve"> </w:t>
      </w:r>
    </w:p>
    <w:p w14:paraId="5B80C778" w14:textId="69F4F252" w:rsidR="00C85A78" w:rsidRDefault="00761C81" w:rsidP="00761C81">
      <w:pPr>
        <w:pStyle w:val="ae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C16B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spacing w:line="579" w:lineRule="exact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spacing w:line="579" w:lineRule="exact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spacing w:line="579" w:lineRule="exact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spacing w:line="579" w:lineRule="exact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spacing w:line="579" w:lineRule="exact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spacing w:line="579" w:lineRule="exact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spacing w:line="579" w:lineRule="exact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spacing w:after="0" w:line="579" w:lineRule="exact"/>
        <w:ind w:firstLineChars="200" w:firstLine="44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。实际上这种调控的准确度取决于对载荷附近地磁场的精确测量（包括大小和方向）、对靶目标距离的精确测量以及对束流动能稳定性的控制。</w:t>
      </w:r>
    </w:p>
    <w:p w14:paraId="48B3E502" w14:textId="12DE0FD1" w:rsidR="00727CCB" w:rsidRDefault="004C16BB" w:rsidP="0060511D">
      <w:pPr>
        <w:spacing w:after="0" w:line="240" w:lineRule="atLeast"/>
        <w:ind w:firstLineChars="200" w:firstLine="44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0A2A862E" w:rsidR="00B15213" w:rsidRDefault="005655D5" w:rsidP="005655D5">
      <w:pPr>
        <w:pStyle w:val="ae"/>
        <w:jc w:val="center"/>
      </w:pPr>
      <w:bookmarkStart w:id="0" w:name="_Ref198911985"/>
      <w:bookmarkStart w:id="1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15902">
        <w:rPr>
          <w:noProof/>
        </w:rPr>
        <w:t>1</w:t>
      </w:r>
      <w:r>
        <w:fldChar w:fldCharType="end"/>
      </w:r>
      <w:bookmarkEnd w:id="0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1"/>
    </w:p>
    <w:p w14:paraId="480589C1" w14:textId="535AC969" w:rsidR="00746F75" w:rsidRDefault="005655D5" w:rsidP="00E0277D">
      <w:pPr>
        <w:spacing w:after="0" w:line="579" w:lineRule="exact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spacing w:after="0" w:line="579" w:lineRule="exact"/>
        <w:ind w:firstLineChars="200" w:firstLine="44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after="0" w:line="579" w:lineRule="atLeast"/>
        <w:ind w:firstLineChars="200" w:firstLine="44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after="0" w:line="579" w:lineRule="atLeast"/>
        <w:ind w:firstLineChars="200" w:firstLine="44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after="0" w:line="579" w:lineRule="atLeast"/>
        <w:ind w:firstLineChars="200" w:firstLine="44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相对论力学可得：</w:t>
      </w:r>
    </w:p>
    <w:p w14:paraId="6C2341D4" w14:textId="353112A4" w:rsidR="007740D9" w:rsidRDefault="00000000" w:rsidP="004D171E">
      <w:pPr>
        <w:spacing w:after="0" w:line="579" w:lineRule="atLeast"/>
        <w:ind w:firstLineChars="200" w:firstLine="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spacing w:after="0" w:line="579" w:lineRule="exact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spacing w:after="0" w:line="579" w:lineRule="exact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spacing w:after="0" w:line="579" w:lineRule="exact"/>
        <w:ind w:firstLineChars="200" w:firstLine="440"/>
      </w:pPr>
      <w:r>
        <w:rPr>
          <w:rFonts w:hint="eastAsia"/>
        </w:rPr>
        <w:t>针对典型数值</w:t>
      </w:r>
      <w:r w:rsidR="0037226C">
        <w:rPr>
          <w:rFonts w:hint="eastAsia"/>
        </w:rPr>
        <w:t>（</w:t>
      </w:r>
      <w:r w:rsidR="0037226C">
        <w:rPr>
          <w:rFonts w:hint="eastAsia"/>
        </w:rPr>
        <w:t>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after="0" w:line="240" w:lineRule="atLeast"/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74288985" w:rsidR="00442564" w:rsidRDefault="00442564" w:rsidP="00442564">
      <w:pPr>
        <w:pStyle w:val="ae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1590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spacing w:after="0" w:line="579" w:lineRule="exact"/>
        <w:ind w:firstLineChars="200" w:firstLine="44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后抵达，则</w:t>
      </w:r>
    </w:p>
    <w:p w14:paraId="0111841F" w14:textId="4D84A4DB" w:rsidR="00C26133" w:rsidRPr="0009230D" w:rsidRDefault="00000000" w:rsidP="005D275E">
      <w:pPr>
        <w:spacing w:after="0" w:line="579" w:lineRule="exact"/>
        <w:ind w:firstLineChars="200" w:firstLine="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spacing w:after="0" w:line="579" w:lineRule="exact"/>
        <w:ind w:firstLineChars="200" w:firstLine="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spacing w:after="0" w:line="579" w:lineRule="exact"/>
        <w:ind w:firstLineChars="200" w:firstLine="44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after="0" w:line="240" w:lineRule="atLeast"/>
        <w:ind w:firstLineChars="200" w:firstLine="44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7D7CEBF8" w:rsidR="00194FA9" w:rsidRDefault="006B1B29" w:rsidP="003948F0">
      <w:pPr>
        <w:spacing w:after="0" w:line="579" w:lineRule="atLeast"/>
        <w:ind w:firstLineChars="200" w:firstLine="44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6628AF">
        <w:rPr>
          <w:rFonts w:hint="eastAsia"/>
        </w:rPr>
        <w:t>图</w:t>
      </w:r>
      <w:r w:rsidR="006628AF">
        <w:rPr>
          <w:rFonts w:hint="eastAsia"/>
        </w:rPr>
        <w:t xml:space="preserve"> </w:t>
      </w:r>
      <w:r w:rsidR="006628AF">
        <w:rPr>
          <w:noProof/>
        </w:rPr>
        <w:t>3</w:t>
      </w:r>
      <w:r w:rsidR="006628AF">
        <w:fldChar w:fldCharType="end"/>
      </w:r>
      <w:r w:rsidR="006628AF">
        <w:rPr>
          <w:rFonts w:hint="eastAsia"/>
        </w:rPr>
        <w:t>中我们绘制了</w:t>
      </w:r>
      <w:r w:rsidR="006628AF">
        <w:rPr>
          <w:rFonts w:hint="eastAsia"/>
        </w:rPr>
        <w:t>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after="0" w:line="579" w:lineRule="atLeast"/>
        <w:ind w:left="0" w:firstLineChars="200" w:firstLine="44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after="0" w:line="579" w:lineRule="atLeast"/>
        <w:ind w:left="0" w:firstLineChars="200" w:firstLine="440"/>
        <w:rPr>
          <w:rFonts w:hint="eastAsia"/>
        </w:rPr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</w:t>
      </w:r>
      <w:r>
        <w:rPr>
          <w:rFonts w:hint="eastAsia"/>
        </w:rPr>
        <w:lastRenderedPageBreak/>
        <w:t>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after="0" w:line="240" w:lineRule="atLeast"/>
        <w:ind w:firstLineChars="200" w:firstLine="440"/>
        <w:jc w:val="center"/>
      </w:pPr>
      <w:r>
        <w:rPr>
          <w:noProof/>
        </w:rPr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4B025EBA" w:rsidR="00F07CE6" w:rsidRDefault="00990587" w:rsidP="00990587">
      <w:pPr>
        <w:pStyle w:val="ae"/>
        <w:jc w:val="center"/>
      </w:pPr>
      <w:bookmarkStart w:id="2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5902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12EF86F2" w:rsidR="000C4A4D" w:rsidRPr="00562726" w:rsidRDefault="00DE56D5" w:rsidP="00B238C7">
      <w:pPr>
        <w:rPr>
          <w:rFonts w:hint="eastAsia"/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3C5C7F">
        <w:rPr>
          <w:rFonts w:hint="eastAsia"/>
        </w:rPr>
        <w:t>图</w:t>
      </w:r>
      <w:r w:rsidR="003C5C7F">
        <w:rPr>
          <w:rFonts w:hint="eastAsia"/>
        </w:rPr>
        <w:t xml:space="preserve"> </w:t>
      </w:r>
      <w:r w:rsidR="003C5C7F">
        <w:rPr>
          <w:noProof/>
        </w:rPr>
        <w:t>4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76B5B1B3" w:rsidR="00AC1454" w:rsidRDefault="004D3F2C" w:rsidP="004D3F2C">
      <w:pPr>
        <w:pStyle w:val="ae"/>
        <w:jc w:val="center"/>
        <w:rPr>
          <w:iCs/>
        </w:rPr>
      </w:pPr>
      <w:bookmarkStart w:id="3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5902">
        <w:rPr>
          <w:noProof/>
        </w:rPr>
        <w:t>4</w:t>
      </w:r>
      <w:r>
        <w:fldChar w:fldCharType="end"/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km</m:t>
        </m:r>
        <m:r>
          <m:rPr>
            <m:sty m:val="p"/>
          </m:rPr>
          <w:rPr>
            <w:rFonts w:ascii="Cambria Math" w:hAnsi="Cambria Math"/>
          </w:rPr>
          <m:t>, Ψ=0.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6ECD686D" w:rsidR="00694C5B" w:rsidRPr="00D941EF" w:rsidRDefault="00115902" w:rsidP="00115902">
      <w:pPr>
        <w:pStyle w:val="ae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after="0" w:line="240" w:lineRule="atLeast"/>
        <w:ind w:firstLineChars="200" w:firstLine="44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after="0" w:line="240" w:lineRule="atLeast"/>
        <w:ind w:firstLineChars="200" w:firstLine="44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B481C" w14:textId="77777777" w:rsidR="00FD46F6" w:rsidRDefault="00FD46F6" w:rsidP="00907538">
      <w:pPr>
        <w:spacing w:after="0" w:line="240" w:lineRule="auto"/>
      </w:pPr>
      <w:r>
        <w:separator/>
      </w:r>
    </w:p>
  </w:endnote>
  <w:endnote w:type="continuationSeparator" w:id="0">
    <w:p w14:paraId="5AF08513" w14:textId="77777777" w:rsidR="00FD46F6" w:rsidRDefault="00FD46F6" w:rsidP="0090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2746" w14:textId="77777777" w:rsidR="00FD46F6" w:rsidRDefault="00FD46F6" w:rsidP="00907538">
      <w:pPr>
        <w:spacing w:after="0" w:line="240" w:lineRule="auto"/>
      </w:pPr>
      <w:r>
        <w:separator/>
      </w:r>
    </w:p>
  </w:footnote>
  <w:footnote w:type="continuationSeparator" w:id="0">
    <w:p w14:paraId="01A4E87D" w14:textId="77777777" w:rsidR="00FD46F6" w:rsidRDefault="00FD46F6" w:rsidP="0090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257E9"/>
    <w:rsid w:val="00035914"/>
    <w:rsid w:val="00041B45"/>
    <w:rsid w:val="0009230D"/>
    <w:rsid w:val="000A3BF3"/>
    <w:rsid w:val="000A6CAC"/>
    <w:rsid w:val="000B5BAF"/>
    <w:rsid w:val="000C4A4D"/>
    <w:rsid w:val="000D1D01"/>
    <w:rsid w:val="000D3924"/>
    <w:rsid w:val="00103F01"/>
    <w:rsid w:val="00115902"/>
    <w:rsid w:val="001237D5"/>
    <w:rsid w:val="00176FA5"/>
    <w:rsid w:val="001806F5"/>
    <w:rsid w:val="00184C7B"/>
    <w:rsid w:val="00194FA9"/>
    <w:rsid w:val="001C7590"/>
    <w:rsid w:val="001D791D"/>
    <w:rsid w:val="001E3377"/>
    <w:rsid w:val="002147B9"/>
    <w:rsid w:val="00221D88"/>
    <w:rsid w:val="00244EF5"/>
    <w:rsid w:val="00245FE3"/>
    <w:rsid w:val="0026479C"/>
    <w:rsid w:val="0026681C"/>
    <w:rsid w:val="00283872"/>
    <w:rsid w:val="002863A1"/>
    <w:rsid w:val="00287D28"/>
    <w:rsid w:val="002D1B98"/>
    <w:rsid w:val="002E5AFF"/>
    <w:rsid w:val="00326F95"/>
    <w:rsid w:val="00330FB0"/>
    <w:rsid w:val="003324E8"/>
    <w:rsid w:val="00335823"/>
    <w:rsid w:val="00350B93"/>
    <w:rsid w:val="00357B42"/>
    <w:rsid w:val="0037226C"/>
    <w:rsid w:val="00386189"/>
    <w:rsid w:val="0039064E"/>
    <w:rsid w:val="003948F0"/>
    <w:rsid w:val="003B1D0A"/>
    <w:rsid w:val="003B228C"/>
    <w:rsid w:val="003C5C7F"/>
    <w:rsid w:val="003F5C4B"/>
    <w:rsid w:val="003F63C0"/>
    <w:rsid w:val="00406386"/>
    <w:rsid w:val="00414A65"/>
    <w:rsid w:val="00441CDE"/>
    <w:rsid w:val="00442564"/>
    <w:rsid w:val="004508AA"/>
    <w:rsid w:val="00452903"/>
    <w:rsid w:val="004627F4"/>
    <w:rsid w:val="00462B24"/>
    <w:rsid w:val="004824F7"/>
    <w:rsid w:val="004870EE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74E2"/>
    <w:rsid w:val="004F5CB7"/>
    <w:rsid w:val="00521A05"/>
    <w:rsid w:val="00543258"/>
    <w:rsid w:val="00562726"/>
    <w:rsid w:val="005655D5"/>
    <w:rsid w:val="00572306"/>
    <w:rsid w:val="00572A75"/>
    <w:rsid w:val="00590587"/>
    <w:rsid w:val="00591437"/>
    <w:rsid w:val="005928E2"/>
    <w:rsid w:val="00597442"/>
    <w:rsid w:val="005B0A1E"/>
    <w:rsid w:val="005D275E"/>
    <w:rsid w:val="0060511D"/>
    <w:rsid w:val="006127A5"/>
    <w:rsid w:val="006161ED"/>
    <w:rsid w:val="00635EFA"/>
    <w:rsid w:val="006446C0"/>
    <w:rsid w:val="0065661C"/>
    <w:rsid w:val="006628AF"/>
    <w:rsid w:val="00662EEF"/>
    <w:rsid w:val="006666D8"/>
    <w:rsid w:val="00670D49"/>
    <w:rsid w:val="006875D2"/>
    <w:rsid w:val="00694C5B"/>
    <w:rsid w:val="006A242C"/>
    <w:rsid w:val="006A67A7"/>
    <w:rsid w:val="006B16AB"/>
    <w:rsid w:val="006B1818"/>
    <w:rsid w:val="006B1B29"/>
    <w:rsid w:val="006B30EE"/>
    <w:rsid w:val="006E1167"/>
    <w:rsid w:val="006F57E2"/>
    <w:rsid w:val="00725453"/>
    <w:rsid w:val="00727A6E"/>
    <w:rsid w:val="00727CCB"/>
    <w:rsid w:val="00746F75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C16B4"/>
    <w:rsid w:val="007C6F80"/>
    <w:rsid w:val="007D0D5F"/>
    <w:rsid w:val="007D7071"/>
    <w:rsid w:val="007F66A8"/>
    <w:rsid w:val="00824EB7"/>
    <w:rsid w:val="00844BCE"/>
    <w:rsid w:val="00845EA6"/>
    <w:rsid w:val="008A2576"/>
    <w:rsid w:val="008B2B30"/>
    <w:rsid w:val="008D4688"/>
    <w:rsid w:val="00902ED2"/>
    <w:rsid w:val="0090733F"/>
    <w:rsid w:val="00907538"/>
    <w:rsid w:val="00907B59"/>
    <w:rsid w:val="009157DD"/>
    <w:rsid w:val="0098633C"/>
    <w:rsid w:val="00990587"/>
    <w:rsid w:val="009C487E"/>
    <w:rsid w:val="009F1707"/>
    <w:rsid w:val="009F6168"/>
    <w:rsid w:val="00A07460"/>
    <w:rsid w:val="00A10791"/>
    <w:rsid w:val="00A6029D"/>
    <w:rsid w:val="00A722B4"/>
    <w:rsid w:val="00A80B88"/>
    <w:rsid w:val="00AA5CDC"/>
    <w:rsid w:val="00AC1454"/>
    <w:rsid w:val="00AC68BD"/>
    <w:rsid w:val="00B0478B"/>
    <w:rsid w:val="00B068D5"/>
    <w:rsid w:val="00B15213"/>
    <w:rsid w:val="00B2358D"/>
    <w:rsid w:val="00B238C7"/>
    <w:rsid w:val="00B52349"/>
    <w:rsid w:val="00B641EC"/>
    <w:rsid w:val="00B707C9"/>
    <w:rsid w:val="00B81727"/>
    <w:rsid w:val="00BA06DC"/>
    <w:rsid w:val="00BB53B4"/>
    <w:rsid w:val="00BD09B7"/>
    <w:rsid w:val="00BD4668"/>
    <w:rsid w:val="00BD4FD4"/>
    <w:rsid w:val="00BE60F4"/>
    <w:rsid w:val="00C22922"/>
    <w:rsid w:val="00C26133"/>
    <w:rsid w:val="00C32BD7"/>
    <w:rsid w:val="00C340FD"/>
    <w:rsid w:val="00C46472"/>
    <w:rsid w:val="00C6073A"/>
    <w:rsid w:val="00C73269"/>
    <w:rsid w:val="00C77C1D"/>
    <w:rsid w:val="00C85A78"/>
    <w:rsid w:val="00C87A71"/>
    <w:rsid w:val="00C92332"/>
    <w:rsid w:val="00CA1458"/>
    <w:rsid w:val="00CB37DA"/>
    <w:rsid w:val="00CB519C"/>
    <w:rsid w:val="00CD34FE"/>
    <w:rsid w:val="00D068DC"/>
    <w:rsid w:val="00D20874"/>
    <w:rsid w:val="00D41044"/>
    <w:rsid w:val="00D42296"/>
    <w:rsid w:val="00D710F4"/>
    <w:rsid w:val="00D94045"/>
    <w:rsid w:val="00D941EF"/>
    <w:rsid w:val="00D9645D"/>
    <w:rsid w:val="00DA492C"/>
    <w:rsid w:val="00DB09B0"/>
    <w:rsid w:val="00DD0C77"/>
    <w:rsid w:val="00DE56D5"/>
    <w:rsid w:val="00E0277D"/>
    <w:rsid w:val="00E05D81"/>
    <w:rsid w:val="00E141B8"/>
    <w:rsid w:val="00E20D95"/>
    <w:rsid w:val="00E73088"/>
    <w:rsid w:val="00E81C10"/>
    <w:rsid w:val="00EA3C10"/>
    <w:rsid w:val="00ED243B"/>
    <w:rsid w:val="00EF35AC"/>
    <w:rsid w:val="00EF485B"/>
    <w:rsid w:val="00F07CE6"/>
    <w:rsid w:val="00F114F8"/>
    <w:rsid w:val="00F11D1A"/>
    <w:rsid w:val="00F558C4"/>
    <w:rsid w:val="00F616BE"/>
    <w:rsid w:val="00F66AAA"/>
    <w:rsid w:val="00F91F48"/>
    <w:rsid w:val="00FC7574"/>
    <w:rsid w:val="00FD46F6"/>
    <w:rsid w:val="00FF1853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332"/>
    <w:pPr>
      <w:widowControl w:val="0"/>
    </w:pPr>
    <w:rPr>
      <w:rFonts w:ascii="Times New Roman" w:eastAsia="仿宋_GB2312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203</cp:revision>
  <dcterms:created xsi:type="dcterms:W3CDTF">2025-05-23T08:46:00Z</dcterms:created>
  <dcterms:modified xsi:type="dcterms:W3CDTF">2025-05-28T09:32:00Z</dcterms:modified>
</cp:coreProperties>
</file>