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2A78D6"/>
          <w:sz w:val="64"/>
          <w:szCs w:val="64"/>
        </w:rPr>
        <w:t xml:space="preserve">Loss Reserving</w:t>
      </w:r>
    </w:p>
    <w:p>
      <w:pPr>
        <w:spacing w:after="240"/>
      </w:pPr>
      <w:r>
        <w:rPr>
          <w:color w:val="0B0B0B"/>
          <w:sz w:val="40"/>
          <w:szCs w:val="40"/>
        </w:rPr>
        <w:t xml:space="preserve">Verfahrensvergleich für Schadenreserven</w:t>
      </w:r>
    </w:p>
    <w:p>
      <w:pPr>
        <w:pBdr>
          <w:bottom w:val="single" w:color="2A78D6" w:sz="12" w:space="6"/>
        </w:pBdr>
        <w:spacing w:after="360"/>
      </w:pPr>
      <w:r>
        <w:rPr>
          <w:color w:val="52514E"/>
          <w:sz w:val="28"/>
          <w:szCs w:val="28"/>
        </w:rPr>
        <w:t xml:space="preserve">Benutzerhandbuch für die R-Version (R Shiny und R-Skript)</w:t>
      </w:r>
    </w:p>
    <w:p>
      <w:pPr>
        <w:spacing w:after="120" w:line="276"/>
      </w:pPr>
      <w:r>
        <w:t xml:space="preserve">Diese Dokumentation beschreibt, wie das Tool bedient wird, welche Ergebnisse es liefert und wie diese Ergebnisse zu lesen sind. Sie gilt für die R-Version des Tools:</w:t>
      </w:r>
    </w:p>
    <w:p>
      <w:pPr>
        <w:pStyle w:val="ListParagraph"/>
        <w:numPr>
          <w:ilvl w:val="0"/>
          <w:numId w:val="2"/>
        </w:numPr>
        <w:spacing w:after="60" w:line="264"/>
      </w:pPr>
      <w:r>
        <w:rPr>
          <w:b/>
          <w:bCs/>
        </w:rPr>
        <w:t xml:space="preserve">R-Shiny-App</w:t>
      </w:r>
      <w:r>
        <w:t xml:space="preserve"> (app.R) – interaktive Oberfläche im Browser, Grundlage aller Screenshots</w:t>
      </w:r>
    </w:p>
    <w:p>
      <w:pPr>
        <w:pStyle w:val="ListParagraph"/>
        <w:numPr>
          <w:ilvl w:val="0"/>
          <w:numId w:val="2"/>
        </w:numPr>
        <w:spacing w:after="60" w:line="264"/>
      </w:pPr>
      <w:r>
        <w:rPr>
          <w:b/>
          <w:bCs/>
        </w:rPr>
        <w:t xml:space="preserve">R-Skript</w:t>
      </w:r>
      <w:r>
        <w:t xml:space="preserve"> (loss_reserving.R) – Rechenlogik, auch über die Kommandozeile oder als Bibliothek nutzbar</w:t>
      </w:r>
    </w:p>
    <w:p>
      <w:pPr>
        <w:spacing w:after="120" w:before="120"/>
      </w:pPr>
      <w:r>
        <w:t xml:space="preserve">Neu in dieser Ausgabe sind die Kapitel </w:t>
      </w:r>
      <w:r>
        <w:rPr>
          <w:b/>
          <w:bCs/>
        </w:rPr>
        <w:t xml:space="preserve">4 Jahres- und Quartalsdaten</w:t>
      </w:r>
      <w:r>
        <w:t xml:space="preserve"> und </w:t>
      </w:r>
      <w:r>
        <w:rPr>
          <w:b/>
          <w:bCs/>
        </w:rPr>
        <w:t xml:space="preserve">7 Eigene Reserve als Benchmark</w:t>
      </w:r>
      <w:r>
        <w:t xml:space="preserve">. Die Beispiele verwenden das öffentlich bekannte RAA-Dreieck mit fiktiven Prämien sowie ein fiktives Quartalsdreieck.</w:t>
      </w:r>
    </w:p>
    <w:p>
      <w:pPr>
        <w:spacing w:before="1800"/>
      </w:pPr>
      <w:r>
        <w:rPr>
          <w:color w:val="898781"/>
        </w:rPr>
        <w:t xml:space="preserve">Stand: 23. September 2026</w:t>
      </w:r>
    </w:p>
    <w:p>
      <w:pPr>
        <w:pageBreakBefore/>
        <w:spacing w:after="200"/>
      </w:pPr>
      <w:r>
        <w:rPr>
          <w:b/>
          <w:bCs/>
          <w:color w:val="2A78D6"/>
          <w:sz w:val="32"/>
          <w:szCs w:val="32"/>
        </w:rPr>
        <w:t xml:space="preserve">Inhalt</w:t>
      </w:r>
    </w:p>
    <w:sdt>
      <w:sdtPr>
        <w:alias w:val="Inhalt"/>
      </w:sdtPr>
      <w:sdtContent>
        <w:p>
          <w:r>
            <w:fldChar w:fldCharType="begin" w:dirty="true"/>
            <w:instrText xml:space="preserve">TOC \h \o "1-2"</w:instrText>
            <w:fldChar w:fldCharType="separate"/>
          </w:r>
        </w:p>
        <w:p>
          <w:r>
            <w:fldChar w:fldCharType="end"/>
          </w:r>
        </w:p>
      </w:sdtContent>
    </w:sdt>
    <w:p>
      <w:pPr>
        <w:spacing w:after="120" w:line="276"/>
      </w:pPr>
      <w:r>
        <w:rPr>
          <w:i/>
          <w:iCs/>
          <w:color w:val="898781"/>
          <w:sz w:val="18"/>
          <w:szCs w:val="18"/>
        </w:rPr>
        <w:t xml:space="preserve">Hinweis: Falls das Inhaltsverzeichnis leer erscheint, in Word mit Rechtsklick → „Felder aktualisieren“ (oder F9) aktualisieren.</w:t>
      </w:r>
    </w:p>
    <w:p>
      <w:pPr>
        <w:pStyle w:val="Heading1"/>
        <w:pageBreakBefore/>
      </w:pPr>
      <w:r>
        <w:t xml:space="preserve">1  Zweck und Überblick</w:t>
      </w:r>
    </w:p>
    <w:p>
      <w:pPr>
        <w:spacing w:after="120" w:line="276"/>
      </w:pPr>
      <w:r>
        <w:t xml:space="preserve">Das Tool schätzt aus einem Schadendreieck die </w:t>
      </w:r>
      <w:r>
        <w:rPr>
          <w:b/>
          <w:bCs/>
        </w:rPr>
        <w:t xml:space="preserve">Schadenreserve</w:t>
      </w:r>
      <w:r>
        <w:t xml:space="preserve"> – also den Betrag, der für bereits eingetretene, aber noch nicht vollständig abgewickelte Schäden zurückgestellt werden muss – und stellt die Ergebnisse von sieben gängigen Reservierungsverfahren nebeneinander.</w:t>
      </w:r>
    </w:p>
    <w:p>
      <w:pPr>
        <w:spacing w:after="120" w:line="276"/>
      </w:pPr>
      <w:r>
        <w:t xml:space="preserve">Der Vergleich ist der Kern des Tools: Jedes Verfahren beruht auf anderen Annahmen. Liegen die Ergebnisse eng beieinander, ist die Schätzung robust. Liegen sie weit auseinander, zeigt das Tool, </w:t>
      </w:r>
      <w:r>
        <w:rPr>
          <w:b/>
          <w:bCs/>
        </w:rPr>
        <w:t xml:space="preserve">welche Anfallperioden</w:t>
      </w:r>
      <w:r>
        <w:t xml:space="preserve"> und </w:t>
      </w:r>
      <w:r>
        <w:rPr>
          <w:b/>
          <w:bCs/>
        </w:rPr>
        <w:t xml:space="preserve">welche Annahmen</w:t>
      </w:r>
      <w:r>
        <w:t xml:space="preserve"> den Unterschied verursachen. Zusätzlich lässt sich die </w:t>
      </w:r>
      <w:r>
        <w:rPr>
          <w:b/>
          <w:bCs/>
        </w:rPr>
        <w:t xml:space="preserve">eigene, manuell festgelegte Reserve</w:t>
      </w:r>
      <w:r>
        <w:t xml:space="preserve"> als Benchmark eintragen und gegen alle Verfahren einordnen.</w:t>
      </w:r>
    </w:p>
    <w:p>
      <w:pPr>
        <w:pStyle w:val="Heading2"/>
      </w:pPr>
      <w:r>
        <w:t xml:space="preserve">1.1  Enthaltene Verfahren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038"/>
        <w:gridCol w:w="1400"/>
        <w:gridCol w:w="1900"/>
      </w:tblGrid>
      <w:tr>
        <w:trPr>
          <w:tblHeader/>
        </w:trPr>
        <w:tc>
          <w:tcPr>
            <w:tcW w:type="dxa" w:w="2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Verfahren</w:t>
            </w:r>
          </w:p>
        </w:tc>
        <w:tc>
          <w:tcPr>
            <w:tcW w:type="dxa" w:w="40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Kurzbeschreibung</w:t>
            </w:r>
          </w:p>
        </w:tc>
        <w:tc>
          <w:tcPr>
            <w:tcW w:type="dxa" w:w="14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Braucht Prämien</w:t>
            </w:r>
          </w:p>
        </w:tc>
        <w:tc>
          <w:tcPr>
            <w:tcW w:type="dxa" w:w="1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Liefert Unsicherheit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Chain Ladder</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Hochrechnung mit durchschnittlichen Abwicklungsfaktoren</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 (siehe Mack)</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Mack</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Statistisches Modell hinter Chain Ladder</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 Standardfehler, Quantile</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Expected Loss Ratio (ELR)</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Endschaden = Prämie × erwartete Schadenquote</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Bornhuetter-Ferguson (BF)</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Mischung aus bekanntem Schaden und A-priori-Erwartung</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Cape Cod</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Wie BF, Schadenquote wird aus den Daten geschätzt</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Additives Verfahren</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Inkrementelle Schadenquoten je Abwicklungsperiode</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ODP-Bootstrap</w:t>
            </w:r>
          </w:p>
        </w:tc>
        <w:tc>
          <w:tcPr>
            <w:tcW w:type="dxa" w:w="4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Simulation vieler plausibler Dreiecke (England &amp; Verrall)</w:t>
            </w:r>
          </w:p>
        </w:tc>
        <w:tc>
          <w:tcPr>
            <w:tcW w:type="dxa" w:w="14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nein</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 ganze Verteilung</w:t>
            </w:r>
          </w:p>
        </w:tc>
      </w:tr>
    </w:tbl>
    <w:p>
      <w:pPr>
        <w:spacing w:after="120" w:before="120"/>
      </w:pPr>
      <w:r>
        <w:t xml:space="preserve">Mack liefert denselben Punktschätzer wie Chain Ladder; in den Tabellen erscheinen beide daher in einer Zeile „Chain Ladder“ mit dem Mack-Standardfehler. Zusammen mit dem Bootstrap ergeben sich </w:t>
      </w:r>
      <w:r>
        <w:rPr>
          <w:b/>
          <w:bCs/>
        </w:rPr>
        <w:t xml:space="preserve">sechs Gesamtreserven</w:t>
      </w:r>
      <w:r>
        <w:t xml:space="preserve">, die das Tool vergleicht.</w:t>
      </w:r>
    </w:p>
    <w:p>
      <w:pPr>
        <w:pStyle w:val="Heading2"/>
      </w:pPr>
      <w:r>
        <w:t xml:space="preserve">1.2  Jahres- und Quartalsdaten, Benchmark</w:t>
      </w:r>
    </w:p>
    <w:p>
      <w:pPr>
        <w:pStyle w:val="ListParagraph"/>
        <w:numPr>
          <w:ilvl w:val="0"/>
          <w:numId w:val="2"/>
        </w:numPr>
        <w:spacing w:after="60" w:line="264"/>
      </w:pPr>
      <w:r>
        <w:rPr>
          <w:b/>
          <w:bCs/>
        </w:rPr>
        <w:t xml:space="preserve">Periodizität:</w:t>
      </w:r>
      <w:r>
        <w:t xml:space="preserve"> Das Dreieck kann aus Anfalljahren oder Anfallquartalen bestehen. Quartale werden direkt ausgewertet oder auf Wunsch zu einem Jahresdreieck verdichtet (Kapitel 4).</w:t>
      </w:r>
    </w:p>
    <w:p>
      <w:pPr>
        <w:pStyle w:val="ListParagraph"/>
        <w:numPr>
          <w:ilvl w:val="0"/>
          <w:numId w:val="2"/>
        </w:numPr>
        <w:spacing w:after="60" w:line="264"/>
      </w:pPr>
      <w:r>
        <w:rPr>
          <w:b/>
          <w:bCs/>
        </w:rPr>
        <w:t xml:space="preserve">Benchmark:</w:t>
      </w:r>
      <w:r>
        <w:t xml:space="preserve"> Die eigene Reserve je Anfallperiode wird in allen Tabellen und Grafiken mitgeführt; das Tool berechnet Abweichungen und ein Sicherheitsniveau (Kapitel 7).</w:t>
      </w:r>
    </w:p>
    <w:p>
      <w:pPr>
        <w:pStyle w:val="Heading2"/>
      </w:pPr>
      <w:r>
        <w:t xml:space="preserve">1.3  Was das Tool leistet – und was nicht</w:t>
      </w:r>
    </w:p>
    <w:p>
      <w:pPr>
        <w:spacing w:after="120" w:line="276"/>
      </w:pPr>
      <w:r>
        <w:t xml:space="preserve">Das Tool ist ein </w:t>
      </w:r>
      <w:r>
        <w:rPr>
          <w:b/>
          <w:bCs/>
        </w:rPr>
        <w:t xml:space="preserve">Analyse- und Entscheidungswerkzeug</w:t>
      </w:r>
      <w:r>
        <w:t xml:space="preserve">. Es rechnet die Verfahren transparent und reproduzierbar, macht Unterschiede sichtbar und exportiert alle Zahlen nach Excel. Es ersetzt nicht das aktuarielle Urteil: Welche Methode für welche Anfallperiode angemessen ist, welche Faktoren ausgeschlossen werden sollten und welcher Tail-Faktor passt, muss fachlich entschieden werden. Kapitel 9 gibt dafür einen Leitfaden, Kapitel 11 beschreibt die Grenzen.</w:t>
      </w:r>
    </w:p>
    <w:p>
      <w:pPr>
        <w:pStyle w:val="Heading1"/>
        <w:pageBreakBefore/>
      </w:pPr>
      <w:r>
        <w:t xml:space="preserve">2  Schnellstart</w:t>
      </w:r>
    </w:p>
    <w:p>
      <w:pPr>
        <w:pStyle w:val="Heading2"/>
      </w:pPr>
      <w:r>
        <w:t xml:space="preserve">2.1  Lieferumfang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tblHeader/>
        </w:trPr>
        <w:tc>
          <w:tcPr>
            <w:tcW w:type="dxa" w:w="3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Datei</w:t>
            </w:r>
          </w:p>
        </w:tc>
        <w:tc>
          <w:tcPr>
            <w:tcW w:type="dxa" w:w="63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Inhalt</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app.R</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R-Shiny-App (Oberfläche)</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loss_reserving.R</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Rechenlogik aller Verfahren; auch als Kommandozeilen-Skript nutzbar</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install_packages.R</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Installiert einmalig die benötigten R-Pakete</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beispiel_quartale.csv</w:t>
            </w:r>
          </w:p>
          <w:p>
            <w:pPr>
              <w:spacing w:after="20" w:line="252"/>
              <w:jc w:val="left"/>
            </w:pPr>
            <w:r>
              <w:rPr>
                <w:b/>
                <w:bCs/>
                <w:sz w:val="19"/>
                <w:szCs w:val="19"/>
              </w:rPr>
              <w:t xml:space="preserve">beispiel_quartale_praemien.csv</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Fiktives Quartalsdreieck 2021Q1–2024Q4 mit Quartalsprämien</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manuelle_reserve_vorlage.csv</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Vorlage für die eigene Reserve (Benchmark) zum RAA-Demo-Dreieck</w:t>
            </w:r>
          </w:p>
        </w:tc>
      </w:tr>
      <w:tr>
        <w:trPr>
          <w:cantSplit/>
        </w:trPr>
        <w:tc>
          <w:tcPr>
            <w:tcW w:type="dxa" w:w="3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README.md</w:t>
            </w:r>
          </w:p>
        </w:tc>
        <w:tc>
          <w:tcPr>
            <w:tcW w:type="dxa" w:w="63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Kurzanleitung</w:t>
            </w:r>
          </w:p>
        </w:tc>
      </w:tr>
    </w:tbl>
    <w:p>
      <w:pPr>
        <w:spacing w:after="120"/>
      </w:pPr>
    </w:p>
    <w:p>
      <w:pPr>
        <w:pStyle w:val="Heading2"/>
      </w:pPr>
      <w:r>
        <w:t xml:space="preserve">2.2  Installation</w:t>
      </w:r>
    </w:p>
    <w:p>
      <w:pPr>
        <w:spacing w:after="120" w:line="276"/>
      </w:pPr>
      <w:r>
        <w:t xml:space="preserve">Voraussetzung ist </w:t>
      </w:r>
      <w:r>
        <w:rPr>
          <w:b/>
          <w:bCs/>
        </w:rPr>
        <w:t xml:space="preserve">R ab Version 4.1</w:t>
      </w:r>
      <w:r>
        <w:t xml:space="preserve">, empfohlen mit RStudio. Einmalig im App-Ordner ausführen:</w:t>
      </w:r>
    </w:p>
    <w:p>
      <w:pPr>
        <w:shd w:fill="F6F6F3" w:val="clear"/>
        <w:spacing w:after="140" w:before="80" w:line="264"/>
        <w:ind w:left="567"/>
        <w:jc w:val="left"/>
      </w:pPr>
      <w:r>
        <w:rPr>
          <w:rFonts w:ascii="Consolas" w:cs="Consolas" w:eastAsia="Consolas" w:hAnsi="Consolas"/>
          <w:sz w:val="18"/>
          <w:szCs w:val="18"/>
        </w:rPr>
        <w:t xml:space="preserve">source("install_packages.R")</w:t>
      </w:r>
    </w:p>
    <w:p>
      <w:pPr>
        <w:spacing w:after="120" w:line="276"/>
      </w:pPr>
      <w:r>
        <w:t xml:space="preserve">Installiert werden die Pakete </w:t>
      </w:r>
      <w:r>
        <w:rPr>
          <w:b/>
          <w:bCs/>
        </w:rPr>
        <w:t xml:space="preserve">shiny, bslib, plotly, openxlsx</w:t>
      </w:r>
      <w:r>
        <w:t xml:space="preserve"> und </w:t>
      </w:r>
      <w:r>
        <w:rPr>
          <w:b/>
          <w:bCs/>
        </w:rPr>
        <w:t xml:space="preserve">readxl</w:t>
      </w:r>
      <w:r>
        <w:t xml:space="preserve">. Für das R-Skript allein genügen die Basis-Pakete von R; openxlsx wird für den Excel-Export, readxl für Excel-Dateien als Eingabe benötigt.</w:t>
      </w:r>
    </w:p>
    <w:p>
      <w:pPr>
        <w:pStyle w:val="Heading2"/>
      </w:pPr>
      <w:r>
        <w:t xml:space="preserve">2.3  Starten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Weg</w:t>
            </w:r>
          </w:p>
        </w:tc>
        <w:tc>
          <w:tcPr>
            <w:tcW w:type="dxa" w:w="7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Vorgehen</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RStudio</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app.R öffnen und oben rechts auf „Run App“ klicken.</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R-Konsole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shiny::runApp("pfad/zum/ordner")  – die App öffnet sich im Browser.</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Ohne Oberfläche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Rscript loss_reserving.R …  (siehe Kapitel 12)</w:t>
            </w:r>
          </w:p>
        </w:tc>
      </w:tr>
    </w:tbl>
    <w:p>
      <w:pPr>
        <w:spacing w:after="120"/>
      </w:pPr>
    </w:p>
    <w:p>
      <w:pPr>
        <w:pBdr>
          <w:left w:val="single" w:color="2A78D6" w:sz="18" w:space="8"/>
        </w:pBdr>
        <w:shd w:fill="F3F7FD" w:val="clear"/>
        <w:spacing w:after="40" w:before="120"/>
        <w:ind w:left="200" w:right="200"/>
      </w:pPr>
      <w:r>
        <w:rPr>
          <w:b/>
          <w:bCs/>
          <w:color w:val="2A78D6"/>
        </w:rPr>
        <w:t xml:space="preserve">Datenschutz</w:t>
      </w:r>
    </w:p>
    <w:p>
      <w:pPr>
        <w:pBdr>
          <w:left w:val="single" w:color="2A78D6" w:sz="18" w:space="8"/>
        </w:pBdr>
        <w:shd w:fill="F3F7FD" w:val="clear"/>
        <w:spacing w:after="160" w:before="0" w:line="264"/>
        <w:ind w:left="200" w:right="200"/>
      </w:pPr>
      <w:r>
        <w:t xml:space="preserve">Die App läuft lokal auf dem eigenen Rechner. Hochgeladene Daten verlassen den Rechner nicht.</w:t>
      </w:r>
    </w:p>
    <w:p>
      <w:pPr>
        <w:pStyle w:val="Heading2"/>
      </w:pPr>
      <w:r>
        <w:t xml:space="preserve">2.4  Die Oberfläche im Überblick</w:t>
      </w:r>
    </w:p>
    <w:p>
      <w:pPr>
        <w:spacing w:after="120" w:line="276"/>
      </w:pPr>
      <w:r>
        <w:t xml:space="preserve">Nach dem Start öffnet sich die App mit dem Demo-Dreieck, sodass sofort Ergebnisse zu sehen sind. Die Oberfläche besteht aus zwei Bereichen:</w:t>
      </w:r>
    </w:p>
    <w:p>
      <w:pPr>
        <w:pStyle w:val="ListParagraph"/>
        <w:numPr>
          <w:ilvl w:val="0"/>
          <w:numId w:val="2"/>
        </w:numPr>
        <w:spacing w:after="60" w:line="264"/>
      </w:pPr>
      <w:r>
        <w:rPr>
          <w:b/>
          <w:bCs/>
        </w:rPr>
        <w:t xml:space="preserve">Seitenleiste links:</w:t>
      </w:r>
      <w:r>
        <w:t xml:space="preserve"> Datenquelle, Periodizität und alle Parameter. Jede Änderung wirkt sofort auf alle Seiten.</w:t>
      </w:r>
    </w:p>
    <w:p>
      <w:pPr>
        <w:pStyle w:val="ListParagraph"/>
        <w:numPr>
          <w:ilvl w:val="0"/>
          <w:numId w:val="2"/>
        </w:numPr>
        <w:spacing w:after="60" w:line="264"/>
      </w:pPr>
      <w:r>
        <w:rPr>
          <w:b/>
          <w:bCs/>
        </w:rPr>
        <w:t xml:space="preserve">Hauptbereich rechts:</w:t>
      </w:r>
      <w:r>
        <w:t xml:space="preserve"> sechs Seiten (Reiter): Übersicht, Je Anfallperiode, Chain Ladder &amp; Mack, Bootstrap, Daten und Methodik.</w:t>
      </w:r>
    </w:p>
    <w:p>
      <w:pPr>
        <w:spacing w:after="0" w:before="120"/>
        <w:jc w:val="center"/>
      </w:pPr>
      <w:r>
        <w:drawing>
          <wp:inline distT="0" distB="0" distL="0" distR="0">
            <wp:extent cx="6115050" cy="4886325"/>
            <wp:effectExtent t="0" r="0" b="0" l="0"/>
            <wp:docPr id="1" name="img2/00_gesamt.png" descr="Abbildung 1: Die App nach dem Start mit dem Demo-Dreieck (Seite „Übersicht“)" title="Abbildung 1: Die App nach dem Start mit dem Demo-Dreieck (Seite „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4886325"/>
                    </a:xfrm>
                    <a:prstGeom prst="rect">
                      <a:avLst/>
                    </a:prstGeom>
                  </pic:spPr>
                </pic:pic>
              </a:graphicData>
            </a:graphic>
          </wp:inline>
        </w:drawing>
      </w:r>
    </w:p>
    <w:p>
      <w:pPr>
        <w:spacing w:after="200" w:before="60"/>
        <w:jc w:val="center"/>
      </w:pPr>
      <w:r>
        <w:rPr>
          <w:i/>
          <w:iCs/>
          <w:color w:val="898781"/>
          <w:sz w:val="18"/>
          <w:szCs w:val="18"/>
        </w:rPr>
        <w:t xml:space="preserve">Abbildung 1: Die App nach dem Start mit dem Demo-Dreieck (Seite „Übersicht“)</w:t>
      </w:r>
    </w:p>
    <w:p>
      <w:pPr>
        <w:pStyle w:val="Heading2"/>
      </w:pPr>
      <w:r>
        <w:t xml:space="preserve">2.5  Typischer Arbeitsablauf</w:t>
      </w:r>
    </w:p>
    <w:p>
      <w:pPr>
        <w:pStyle w:val="ListParagraph"/>
        <w:numPr>
          <w:ilvl w:val="0"/>
          <w:numId w:val="3"/>
        </w:numPr>
        <w:spacing w:after="60" w:line="264"/>
      </w:pPr>
      <w:r>
        <w:t xml:space="preserve">Dreieck laden (Datei hochladen oder aus Excel einfügen) und prüfen, ob „kumuliert“ oder „inkrementell“ richtig gewählt ist.</w:t>
      </w:r>
    </w:p>
    <w:p>
      <w:pPr>
        <w:pStyle w:val="ListParagraph"/>
        <w:numPr>
          <w:ilvl w:val="0"/>
          <w:numId w:val="3"/>
        </w:numPr>
        <w:spacing w:after="60" w:line="264"/>
      </w:pPr>
      <w:r>
        <w:t xml:space="preserve">Bei Quartalsdaten entscheiden, ob direkt auf Quartalen gerechnet oder zu Jahren verdichtet wird.</w:t>
      </w:r>
    </w:p>
    <w:p>
      <w:pPr>
        <w:pStyle w:val="ListParagraph"/>
        <w:numPr>
          <w:ilvl w:val="0"/>
          <w:numId w:val="3"/>
        </w:numPr>
        <w:spacing w:after="60" w:line="264"/>
      </w:pPr>
      <w:r>
        <w:t xml:space="preserve">Auf der Seite </w:t>
      </w:r>
      <w:r>
        <w:rPr>
          <w:b/>
          <w:bCs/>
        </w:rPr>
        <w:t xml:space="preserve">Daten</w:t>
      </w:r>
      <w:r>
        <w:t xml:space="preserve"> das Dreieck kontrollieren, die Prämien und – falls vorhanden – die </w:t>
      </w:r>
      <w:r>
        <w:rPr>
          <w:b/>
          <w:bCs/>
        </w:rPr>
        <w:t xml:space="preserve">eigene Reserve</w:t>
      </w:r>
      <w:r>
        <w:t xml:space="preserve"> je Anfallperiode eintragen.</w:t>
      </w:r>
    </w:p>
    <w:p>
      <w:pPr>
        <w:pStyle w:val="ListParagraph"/>
        <w:numPr>
          <w:ilvl w:val="0"/>
          <w:numId w:val="3"/>
        </w:numPr>
        <w:spacing w:after="60" w:line="264"/>
      </w:pPr>
      <w:r>
        <w:t xml:space="preserve">In der Seitenleiste die </w:t>
      </w:r>
      <w:r>
        <w:rPr>
          <w:b/>
          <w:bCs/>
        </w:rPr>
        <w:t xml:space="preserve">A-priori-Schadenquote</w:t>
      </w:r>
      <w:r>
        <w:t xml:space="preserve"> und gegebenenfalls einen </w:t>
      </w:r>
      <w:r>
        <w:rPr>
          <w:b/>
          <w:bCs/>
        </w:rPr>
        <w:t xml:space="preserve">Tail-Faktor</w:t>
      </w:r>
      <w:r>
        <w:t xml:space="preserve"> setzen.</w:t>
      </w:r>
    </w:p>
    <w:p>
      <w:pPr>
        <w:pStyle w:val="ListParagraph"/>
        <w:numPr>
          <w:ilvl w:val="0"/>
          <w:numId w:val="3"/>
        </w:numPr>
        <w:spacing w:after="60" w:line="264"/>
      </w:pPr>
      <w:r>
        <w:t xml:space="preserve">Auf </w:t>
      </w:r>
      <w:r>
        <w:rPr>
          <w:b/>
          <w:bCs/>
        </w:rPr>
        <w:t xml:space="preserve">Chain Ladder &amp; Mack</w:t>
      </w:r>
      <w:r>
        <w:t xml:space="preserve"> die Einzelfaktoren auf Ausreißer prüfen.</w:t>
      </w:r>
    </w:p>
    <w:p>
      <w:pPr>
        <w:pStyle w:val="ListParagraph"/>
        <w:numPr>
          <w:ilvl w:val="0"/>
          <w:numId w:val="3"/>
        </w:numPr>
        <w:spacing w:after="60" w:line="264"/>
      </w:pPr>
      <w:r>
        <w:t xml:space="preserve">Auf </w:t>
      </w:r>
      <w:r>
        <w:rPr>
          <w:b/>
          <w:bCs/>
        </w:rPr>
        <w:t xml:space="preserve">Übersicht</w:t>
      </w:r>
      <w:r>
        <w:t xml:space="preserve"> die Gesamtreserven der Verfahren, die Unsicherheit und die Einordnung der eigenen Reserve vergleichen.</w:t>
      </w:r>
    </w:p>
    <w:p>
      <w:pPr>
        <w:pStyle w:val="ListParagraph"/>
        <w:numPr>
          <w:ilvl w:val="0"/>
          <w:numId w:val="3"/>
        </w:numPr>
        <w:spacing w:after="60" w:line="264"/>
      </w:pPr>
      <w:r>
        <w:t xml:space="preserve">Auf </w:t>
      </w:r>
      <w:r>
        <w:rPr>
          <w:b/>
          <w:bCs/>
        </w:rPr>
        <w:t xml:space="preserve">Je Anfallperiode</w:t>
      </w:r>
      <w:r>
        <w:t xml:space="preserve"> klären, welche Perioden die Unterschiede verursachen.</w:t>
      </w:r>
    </w:p>
    <w:p>
      <w:pPr>
        <w:pStyle w:val="ListParagraph"/>
        <w:numPr>
          <w:ilvl w:val="0"/>
          <w:numId w:val="3"/>
        </w:numPr>
        <w:spacing w:after="60" w:line="264"/>
      </w:pPr>
      <w:r>
        <w:t xml:space="preserve">Ergebnisse als Excel herunterladen und dokumentieren.</w:t>
      </w:r>
    </w:p>
    <w:p>
      <w:pPr>
        <w:pStyle w:val="Heading1"/>
        <w:pageBreakBefore/>
      </w:pPr>
      <w:r>
        <w:t xml:space="preserve">3  Daten vorbereiten und laden</w:t>
      </w:r>
    </w:p>
    <w:p>
      <w:pPr>
        <w:pStyle w:val="Heading2"/>
      </w:pPr>
      <w:r>
        <w:t xml:space="preserve">3.1  Aufbau des Schadendreiecks</w:t>
      </w:r>
    </w:p>
    <w:p>
      <w:pPr>
        <w:spacing w:after="120" w:line="276"/>
      </w:pPr>
      <w:r>
        <w:t xml:space="preserve">Das Dreieck wird als Tabelle erwartet: </w:t>
      </w:r>
      <w:r>
        <w:rPr>
          <w:b/>
          <w:bCs/>
        </w:rPr>
        <w:t xml:space="preserve">erste Spalte = Anfallperiode</w:t>
      </w:r>
      <w:r>
        <w:t xml:space="preserve"> (Jahr oder Quartal), weitere Spalten = </w:t>
      </w:r>
      <w:r>
        <w:rPr>
          <w:b/>
          <w:bCs/>
        </w:rPr>
        <w:t xml:space="preserve">Abwicklungsperioden</w:t>
      </w:r>
      <w:r>
        <w:t xml:space="preserve"> (1, 2, 3, …), erste Zeile = Spaltenüberschriften. Zellen, die in der Zukunft liegen, bleiben leer.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934"/>
        <w:gridCol w:w="1934"/>
        <w:gridCol w:w="1935"/>
        <w:gridCol w:w="1935"/>
      </w:tblGrid>
      <w:tr>
        <w:trPr>
          <w:tblHeader/>
        </w:trPr>
        <w:tc>
          <w:tcPr>
            <w:tcW w:type="dxa" w:w="1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Anfalljahr</w:t>
            </w:r>
          </w:p>
        </w:tc>
        <w:tc>
          <w:tcPr>
            <w:tcW w:type="dxa" w:w="1934"/>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1</w:t>
            </w:r>
          </w:p>
        </w:tc>
        <w:tc>
          <w:tcPr>
            <w:tcW w:type="dxa" w:w="1934"/>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2</w:t>
            </w:r>
          </w:p>
        </w:tc>
        <w:tc>
          <w:tcPr>
            <w:tcW w:type="dxa" w:w="1935"/>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3</w:t>
            </w:r>
          </w:p>
        </w:tc>
        <w:tc>
          <w:tcPr>
            <w:tcW w:type="dxa" w:w="1935"/>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4</w:t>
            </w:r>
          </w:p>
        </w:tc>
      </w:tr>
      <w:tr>
        <w:trPr>
          <w:cantSplit/>
        </w:trP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2021</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1.000</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1.800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2.100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2.200</w:t>
            </w:r>
          </w:p>
        </w:tc>
      </w:tr>
      <w:tr>
        <w:trPr>
          <w:cantSplit/>
        </w:trP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2022</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1.100</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2.000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2.300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2023</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1.200</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2.150</w:t>
            </w: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2024</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1.300</w:t>
            </w:r>
          </w:p>
        </w:tc>
        <w:tc>
          <w:tcPr>
            <w:tcW w:type="dxa" w:w="1934"/>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935"/>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bl>
    <w:p>
      <w:pPr>
        <w:spacing w:after="200" w:before="60"/>
      </w:pPr>
      <w:r>
        <w:rPr>
          <w:i/>
          <w:iCs/>
          <w:color w:val="898781"/>
          <w:sz w:val="18"/>
          <w:szCs w:val="18"/>
        </w:rPr>
        <w:t xml:space="preserve">Beispiel: kumuliertes Jahresdreieck mit vier Anfalljahren</w:t>
      </w:r>
    </w:p>
    <w:p>
      <w:pPr>
        <w:pStyle w:val="ListParagraph"/>
        <w:numPr>
          <w:ilvl w:val="0"/>
          <w:numId w:val="2"/>
        </w:numPr>
        <w:spacing w:after="60" w:line="264"/>
      </w:pPr>
      <w:r>
        <w:rPr>
          <w:b/>
          <w:bCs/>
        </w:rPr>
        <w:t xml:space="preserve">Kumuliert oder inkrementell:</w:t>
      </w:r>
      <w:r>
        <w:t xml:space="preserve"> Kumulierte Werte enthalten alle bisherigen Zahlungen (bzw. den gemeldeten Stand) bis zur jeweiligen Abwicklungsperiode, inkrementelle nur den Zuwachs. In der Seitenleiste unter „Werte im Dreieck“ passend wählen – das Tool rechnet intern immer kumuliert.</w:t>
      </w:r>
    </w:p>
    <w:p>
      <w:pPr>
        <w:pStyle w:val="ListParagraph"/>
        <w:numPr>
          <w:ilvl w:val="0"/>
          <w:numId w:val="2"/>
        </w:numPr>
        <w:spacing w:after="60" w:line="264"/>
      </w:pPr>
      <w:r>
        <w:rPr>
          <w:b/>
          <w:bCs/>
        </w:rPr>
        <w:t xml:space="preserve">Keine Lücken:</w:t>
      </w:r>
      <w:r>
        <w:t xml:space="preserve"> Innerhalb einer Zeile darf zwischen zwei Werten keine leere Zelle stehen.</w:t>
      </w:r>
    </w:p>
    <w:p>
      <w:pPr>
        <w:pStyle w:val="ListParagraph"/>
        <w:numPr>
          <w:ilvl w:val="0"/>
          <w:numId w:val="2"/>
        </w:numPr>
        <w:spacing w:after="60" w:line="264"/>
      </w:pPr>
      <w:r>
        <w:rPr>
          <w:b/>
          <w:bCs/>
        </w:rPr>
        <w:t xml:space="preserve">Anzahl:</w:t>
      </w:r>
      <w:r>
        <w:t xml:space="preserve"> mindestens zwei Anfall- und zwei Abwicklungsperioden; für den Bootstrap und stabile Mack-Schätzungen deutlich mehr (Faustregel: ab etwa 6 × 6).</w:t>
      </w:r>
    </w:p>
    <w:p>
      <w:pPr>
        <w:pStyle w:val="ListParagraph"/>
        <w:numPr>
          <w:ilvl w:val="0"/>
          <w:numId w:val="2"/>
        </w:numPr>
        <w:spacing w:after="60" w:line="264"/>
      </w:pPr>
      <w:r>
        <w:rPr>
          <w:b/>
          <w:bCs/>
        </w:rPr>
        <w:t xml:space="preserve">Quartale:</w:t>
      </w:r>
      <w:r>
        <w:t xml:space="preserve"> Anfallperioden wie 2024Q1 werden automatisch erkannt. Aufbau und Beschriftung beschreibt Kapitel 4.</w:t>
      </w:r>
    </w:p>
    <w:p>
      <w:pPr>
        <w:pStyle w:val="ListParagraph"/>
        <w:numPr>
          <w:ilvl w:val="0"/>
          <w:numId w:val="2"/>
        </w:numPr>
        <w:spacing w:after="60" w:line="264"/>
      </w:pPr>
      <w:r>
        <w:rPr>
          <w:b/>
          <w:bCs/>
        </w:rPr>
        <w:t xml:space="preserve">Bezahlt oder gemeldet:</w:t>
      </w:r>
      <w:r>
        <w:t xml:space="preserve"> Beides ist möglich. Die Bedeutung der Reserve hängt davon ab (siehe Abschnitt 9.1).</w:t>
      </w:r>
    </w:p>
    <w:p>
      <w:pPr>
        <w:pStyle w:val="Heading2"/>
      </w:pPr>
      <w:r>
        <w:t xml:space="preserve">3.2  Möglichkeiten zum Laden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Quelle</w:t>
            </w:r>
          </w:p>
        </w:tc>
        <w:tc>
          <w:tcPr>
            <w:tcW w:type="dxa" w:w="70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Vorgehen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Demo Jahre (RAA-Dreieck)</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Voreingestellt. Öffentliches Rückversicherungsdreieck mit zehn Anfalljahren (1981–1990), dazu fiktive Prämien. Geeignet zum Kennenlernen.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Demo Quartale (fiktiv)</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Fiktives Quartalsdreieck 2021Q1–2024Q4 mit Quartalsprämien (Dateien beispiel_quartale*.csv). Zum Ausprobieren der Quartalsfunktionen.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Datei hochladen</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CSV- oder Excel-Datei (.csv, .txt, .xlsx, .xls) auswählen. Bei Excel wird das erste Tabellenblatt gelesen.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Aus Excel einfügen</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Bereich in Excel markieren (inklusive Kopfzeile und Anfallperioden-Spalte), kopieren und in das Textfeld einfügen.</w:t>
            </w:r>
          </w:p>
        </w:tc>
      </w:tr>
    </w:tbl>
    <w:p>
      <w:pPr>
        <w:spacing w:after="120"/>
      </w:pPr>
    </w:p>
    <w:p>
      <w:pPr>
        <w:pStyle w:val="Heading2"/>
      </w:pPr>
      <w:r>
        <w:t xml:space="preserve">3.3  Deutsches Zahlenformat</w:t>
      </w:r>
    </w:p>
    <w:p>
      <w:pPr>
        <w:spacing w:after="120" w:line="276"/>
      </w:pPr>
      <w:r>
        <w:t xml:space="preserve">Unter </w:t>
      </w:r>
      <w:r>
        <w:rPr>
          <w:b/>
          <w:bCs/>
        </w:rPr>
        <w:t xml:space="preserve">CSV-Format</w:t>
      </w:r>
      <w:r>
        <w:t xml:space="preserve"> in der Seitenleiste lassen sich Trennzeichen und Dezimaltrennzeichen einstellen. Für Dateien aus einem deutschen Excel gilt meist: Trennzeichen </w:t>
      </w:r>
      <w:r>
        <w:rPr>
          <w:b/>
          <w:bCs/>
        </w:rPr>
        <w:t xml:space="preserve">Semikolon</w:t>
      </w:r>
      <w:r>
        <w:t xml:space="preserve">, Dezimaltrennzeichen </w:t>
      </w:r>
      <w:r>
        <w:rPr>
          <w:b/>
          <w:bCs/>
        </w:rPr>
        <w:t xml:space="preserve">Komma</w:t>
      </w:r>
      <w:r>
        <w:t xml:space="preserve">. Tausenderpunkte (z. B. 1.234.567) werden dann automatisch erkannt. Bei „automatisch“ erkennt das Tool das Trennzeichen selbst.</w:t>
      </w:r>
    </w:p>
    <w:p>
      <w:pPr>
        <w:pStyle w:val="Heading2"/>
      </w:pPr>
      <w:r>
        <w:t xml:space="preserve">3.4  Seite „Daten“: Prämien und manuelle Reserve</w:t>
      </w:r>
    </w:p>
    <w:p>
      <w:pPr>
        <w:spacing w:after="120" w:line="276"/>
      </w:pPr>
      <w:r>
        <w:t xml:space="preserve">Die Seite </w:t>
      </w:r>
      <w:r>
        <w:rPr>
          <w:b/>
          <w:bCs/>
        </w:rPr>
        <w:t xml:space="preserve">Daten</w:t>
      </w:r>
      <w:r>
        <w:t xml:space="preserve"> zeigt links das eingelesene, kumulierte Dreieck zur Kontrolle. Rechts stehen zwei Eingabefelder:</w:t>
      </w:r>
    </w:p>
    <w:p>
      <w:pPr>
        <w:pStyle w:val="ListParagraph"/>
        <w:numPr>
          <w:ilvl w:val="0"/>
          <w:numId w:val="2"/>
        </w:numPr>
        <w:spacing w:after="60" w:line="264"/>
      </w:pPr>
      <w:r>
        <w:rPr>
          <w:b/>
          <w:bCs/>
        </w:rPr>
        <w:t xml:space="preserve">Prämien:</w:t>
      </w:r>
      <w:r>
        <w:t xml:space="preserve"> eine Zeile je Anfallperiode, in derselben Reihenfolge wie im Dreieck. Eine Spalte aus Excel kann direkt eingefügt werden. Bei den Demo-Daten sind die Prämien vorbelegt.</w:t>
      </w:r>
    </w:p>
    <w:p>
      <w:pPr>
        <w:pStyle w:val="ListParagraph"/>
        <w:numPr>
          <w:ilvl w:val="0"/>
          <w:numId w:val="2"/>
        </w:numPr>
        <w:spacing w:after="60" w:line="264"/>
      </w:pPr>
      <w:r>
        <w:rPr>
          <w:b/>
          <w:bCs/>
        </w:rPr>
        <w:t xml:space="preserve">Manuelle Reserve:</w:t>
      </w:r>
      <w:r>
        <w:t xml:space="preserve"> optional; die eigene Reserve je Anfallperiode als Benchmark (Kapitel 7). Bleibt das Feld leer, rechnet die App ohne Benchmark.</w:t>
      </w:r>
    </w:p>
    <w:p>
      <w:pPr>
        <w:spacing w:after="0" w:before="120"/>
        <w:jc w:val="center"/>
      </w:pPr>
      <w:r>
        <w:drawing>
          <wp:inline distT="0" distB="0" distL="0" distR="0">
            <wp:extent cx="6115050" cy="2743200"/>
            <wp:effectExtent t="0" r="0" b="0" l="0"/>
            <wp:docPr id="1" name="img2/50_daten.png" descr="Abbildung 2: Seite „Daten“ mit eingelesenem Dreieck, Prämien und leerem Feld für die manuelle Reserve" title="Abbildung 2: Seite „Daten“ mit eingelesenem Dreieck, Prämien und leerem Feld für die manuelle Re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2743200"/>
                    </a:xfrm>
                    <a:prstGeom prst="rect">
                      <a:avLst/>
                    </a:prstGeom>
                  </pic:spPr>
                </pic:pic>
              </a:graphicData>
            </a:graphic>
          </wp:inline>
        </w:drawing>
      </w:r>
    </w:p>
    <w:p>
      <w:pPr>
        <w:spacing w:after="200" w:before="60"/>
        <w:jc w:val="center"/>
      </w:pPr>
      <w:r>
        <w:rPr>
          <w:i/>
          <w:iCs/>
          <w:color w:val="898781"/>
          <w:sz w:val="18"/>
          <w:szCs w:val="18"/>
        </w:rPr>
        <w:t xml:space="preserve">Abbildung 2: Seite „Daten“ mit eingelesenem Dreieck, Prämien und leerem Feld für die manuelle Reserve</w:t>
      </w:r>
    </w:p>
    <w:p>
      <w:pPr>
        <w:spacing w:after="120" w:line="276"/>
      </w:pPr>
      <w:r>
        <w:t xml:space="preserve">Fünf der sieben Verfahren brauchen ein </w:t>
      </w:r>
      <w:r>
        <w:rPr>
          <w:b/>
          <w:bCs/>
        </w:rPr>
        <w:t xml:space="preserve">Volumenmaß</w:t>
      </w:r>
      <w:r>
        <w:t xml:space="preserve"> je Anfallperiode, üblicherweise die verdiente Prämie. Fehlen Prämien oder ist ein Wert nicht positiv, erscheint ein Hinweis, und die prämienbasierten Verfahren werden ausgelassen. Chain Ladder, Mack und Bootstrap laufen trotzdem. Über den Schalter </w:t>
      </w:r>
      <w:r>
        <w:rPr>
          <w:b/>
          <w:bCs/>
        </w:rPr>
        <w:t xml:space="preserve">Prämienbasierte Verfahren</w:t>
      </w:r>
      <w:r>
        <w:t xml:space="preserve"> lassen sie sich auch bewusst abschalten.</w:t>
      </w:r>
    </w:p>
    <w:p>
      <w:pPr>
        <w:pBdr>
          <w:left w:val="single" w:color="2A78D6" w:sz="18" w:space="8"/>
        </w:pBdr>
        <w:shd w:fill="F3F7FD" w:val="clear"/>
        <w:spacing w:after="160" w:before="120" w:line="264"/>
        <w:ind w:left="200" w:right="200"/>
      </w:pPr>
      <w:r>
        <w:t xml:space="preserve">Prämien und manuelle Reserve beziehen sich immer auf die Perioden, die im Dreieck </w:t>
      </w:r>
      <w:r>
        <w:rPr>
          <w:b/>
          <w:bCs/>
        </w:rPr>
        <w:t xml:space="preserve">angezeigt</w:t>
      </w:r>
      <w:r>
        <w:t xml:space="preserve"> werden: bei Quartalsdaten eine Zeile je Quartal, nach der Verdichtung zu Jahren eine Zeile je Jahr (siehe Abschnitt 4.4).</w:t>
      </w:r>
    </w:p>
    <w:p>
      <w:pPr>
        <w:pStyle w:val="Heading2"/>
      </w:pPr>
      <w:r>
        <w:t xml:space="preserve">3.5  Häufige Fehlermeldungen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6138"/>
      </w:tblGrid>
      <w:tr>
        <w:trPr>
          <w:tblHeader/>
        </w:trPr>
        <w:tc>
          <w:tcPr>
            <w:tcW w:type="dxa" w:w="35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Meldung</w:t>
            </w:r>
          </w:p>
        </w:tc>
        <w:tc>
          <w:tcPr>
            <w:tcW w:type="dxa" w:w="61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Ursache und Lösung</w:t>
            </w:r>
          </w:p>
        </w:tc>
      </w:tr>
      <w:tr>
        <w:trPr>
          <w:cantSplit/>
        </w:trPr>
        <w:tc>
          <w:tcPr>
            <w:tcW w:type="dxa" w:w="3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„Lücke im beobachteten Bereich“</w:t>
            </w:r>
          </w:p>
        </w:tc>
        <w:tc>
          <w:tcPr>
            <w:tcW w:type="dxa" w:w="6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 einer Zeile steht zwischen zwei Werten eine leere Zelle. Fehlenden Wert ergänzen oder als 0 eintragen.</w:t>
            </w:r>
          </w:p>
        </w:tc>
      </w:tr>
      <w:tr>
        <w:trPr>
          <w:cantSplit/>
        </w:trPr>
        <w:tc>
          <w:tcPr>
            <w:tcW w:type="dxa" w:w="3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„Das Dreieck braucht mindestens 2 Anfall- und 2 Abwicklungsjahre“</w:t>
            </w:r>
          </w:p>
        </w:tc>
        <w:tc>
          <w:tcPr>
            <w:tcW w:type="dxa" w:w="6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Die Kopfzeile oder die Anfallperioden-Spalte fehlt, oder das Trennzeichen passt nicht. Unter CSV-Format das Trennzeichen prüfen.</w:t>
            </w:r>
          </w:p>
        </w:tc>
      </w:tr>
      <w:tr>
        <w:trPr>
          <w:cantSplit/>
        </w:trPr>
        <w:tc>
          <w:tcPr>
            <w:tcW w:type="dxa" w:w="3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Zahlen sind um den Faktor 1.000 zu klein</w:t>
            </w:r>
          </w:p>
        </w:tc>
        <w:tc>
          <w:tcPr>
            <w:tcW w:type="dxa" w:w="6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Dezimal- und Tausendertrennzeichen vertauscht. Dezimaltrennzeichen auf „Komma“ stellen.</w:t>
            </w:r>
          </w:p>
        </w:tc>
      </w:tr>
      <w:tr>
        <w:trPr>
          <w:cantSplit/>
        </w:trPr>
        <w:tc>
          <w:tcPr>
            <w:tcW w:type="dxa" w:w="3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„Prämien fehlen oder sind nicht positiv“</w:t>
            </w:r>
          </w:p>
        </w:tc>
        <w:tc>
          <w:tcPr>
            <w:tcW w:type="dxa" w:w="6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Anzahl der Prämien passt nicht zur Anzahl der Anfallperioden, oder ein Wert ist leer/0. Nach dem Verdichten zu Jahren je Jahr eine Prämie eintragen.</w:t>
            </w:r>
          </w:p>
        </w:tc>
      </w:tr>
      <w:tr>
        <w:trPr>
          <w:cantSplit/>
        </w:trPr>
        <w:tc>
          <w:tcPr>
            <w:tcW w:type="dxa" w:w="3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„Manuelle Reserve: bitte für alle … eine Zahl eintragen“</w:t>
            </w:r>
          </w:p>
        </w:tc>
        <w:tc>
          <w:tcPr>
            <w:tcW w:type="dxa" w:w="6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Anzahl der Werte passt nicht zur Anzahl der Anfallperioden oder ein Wert ist keine Zahl. Bis zur Korrektur wird der Benchmark ignoriert.</w:t>
            </w:r>
          </w:p>
        </w:tc>
      </w:tr>
      <w:tr>
        <w:trPr>
          <w:cantSplit/>
        </w:trPr>
        <w:tc>
          <w:tcPr>
            <w:tcW w:type="dxa" w:w="3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„Für die Verdichtung auf Jahre müssen alle Anfallperioden Quartale sein“</w:t>
            </w:r>
          </w:p>
        </w:tc>
        <w:tc>
          <w:tcPr>
            <w:tcW w:type="dxa" w:w="6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„Quartale zu Jahren verdichten“ ist aktiv, aber mindestens eine Zeile ist kein erkennbares Quartal. Beschriftung prüfen (Abschnitt 4.1).</w:t>
            </w:r>
          </w:p>
        </w:tc>
      </w:tr>
      <w:tr>
        <w:trPr>
          <w:cantSplit/>
        </w:trPr>
        <w:tc>
          <w:tcPr>
            <w:tcW w:type="dxa" w:w="35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„Dreieck zu klein für den Bootstrap“</w:t>
            </w:r>
          </w:p>
        </w:tc>
        <w:tc>
          <w:tcPr>
            <w:tcW w:type="dxa" w:w="6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 wenige Datenpunkte für die Residuen. Bootstrap-Simulationen auf 0 stellen oder mehr Daten verwenden.</w:t>
            </w:r>
          </w:p>
        </w:tc>
      </w:tr>
    </w:tbl>
    <w:p>
      <w:pPr>
        <w:pStyle w:val="Heading1"/>
        <w:pageBreakBefore/>
      </w:pPr>
      <w:r>
        <w:t xml:space="preserve">4  Jahres- und Quartalsdaten</w:t>
      </w:r>
    </w:p>
    <w:p>
      <w:pPr>
        <w:spacing w:after="120" w:line="276"/>
      </w:pPr>
      <w:r>
        <w:t xml:space="preserve">Das Tool rechnet mit Jahres- oder Quartalsdreiecken. Quartalsdaten können </w:t>
      </w:r>
      <w:r>
        <w:rPr>
          <w:b/>
          <w:bCs/>
        </w:rPr>
        <w:t xml:space="preserve">direkt</w:t>
      </w:r>
      <w:r>
        <w:t xml:space="preserve"> ausgewertet oder zu einem </w:t>
      </w:r>
      <w:r>
        <w:rPr>
          <w:b/>
          <w:bCs/>
        </w:rPr>
        <w:t xml:space="preserve">Jahresdreieck verdichtet</w:t>
      </w:r>
      <w:r>
        <w:t xml:space="preserve"> werden. Alle Verfahren, der Benchmark und der Excel-Export funktionieren in beiden Fällen gleich.</w:t>
      </w:r>
    </w:p>
    <w:p>
      <w:pPr>
        <w:pStyle w:val="Heading2"/>
      </w:pPr>
      <w:r>
        <w:t xml:space="preserve">4.1  Aufbau eines Quartalsdreiecks</w:t>
      </w:r>
    </w:p>
    <w:p>
      <w:pPr>
        <w:spacing w:after="120" w:line="276"/>
      </w:pPr>
      <w:r>
        <w:t xml:space="preserve">Jede Zeile ist ein </w:t>
      </w:r>
      <w:r>
        <w:rPr>
          <w:b/>
          <w:bCs/>
        </w:rPr>
        <w:t xml:space="preserve">Anfallquartal</w:t>
      </w:r>
      <w:r>
        <w:t xml:space="preserve">, jede Spalte ein </w:t>
      </w:r>
      <w:r>
        <w:rPr>
          <w:b/>
          <w:bCs/>
        </w:rPr>
        <w:t xml:space="preserve">Abwicklungsquartal</w:t>
      </w:r>
      <w:r>
        <w:t xml:space="preserve">. Abwicklungsquartal 1 ist das Anfallquartal selbst, 2 das folgende Quartal usw. Ein vollständiges Dreieck über vier Jahre hat damit 16 Zeilen und 16 Spalten. Folgende Schreibweisen der Anfallquartale werden erkannt: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438"/>
      </w:tblGrid>
      <w:tr>
        <w:trPr>
          <w:tblHeader/>
        </w:trPr>
        <w:tc>
          <w:tcPr>
            <w:tcW w:type="dxa" w:w="26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Schreibweise</w:t>
            </w:r>
          </w:p>
        </w:tc>
        <w:tc>
          <w:tcPr>
            <w:tcW w:type="dxa" w:w="26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Beispiel</w:t>
            </w:r>
          </w:p>
        </w:tc>
        <w:tc>
          <w:tcPr>
            <w:tcW w:type="dxa" w:w="4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Hinweis</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JahrQn</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2024Q1</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Standard, empfohlen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Jahr-Qn</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2024-Q1</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Qn Jahr</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Q1 2024</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auch mit Leerzeichen oder Bindestrich</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Jahr/n</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2024/1</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 = 1 bis 4</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 Quartal Jahr</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1. Quartal 2024</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nQJahr</w:t>
            </w:r>
          </w:p>
        </w:tc>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1Q2024</w:t>
            </w:r>
          </w:p>
        </w:tc>
        <w:tc>
          <w:tcPr>
            <w:tcW w:type="dxa" w:w="4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p>
        </w:tc>
      </w:tr>
    </w:tbl>
    <w:p>
      <w:pPr>
        <w:spacing w:after="120"/>
      </w:pPr>
    </w:p>
    <w:p>
      <w:pPr>
        <w:spacing w:after="120" w:line="276"/>
      </w:pPr>
      <w:r>
        <w:t xml:space="preserve">Groß- und Kleinschreibung spielt keine Rolle. Alle Zeilen müssen dieselbe Periodizität haben; eine Mischung aus Jahren und Quartalen wird als Jahresdreieck behandelt.</w:t>
      </w:r>
    </w:p>
    <w:p>
      <w:pPr>
        <w:pStyle w:val="Heading2"/>
      </w:pPr>
      <w:r>
        <w:t xml:space="preserve">4.2  Einstellungen in der Seitenleiste</w:t>
      </w:r>
    </w:p>
    <w:p>
      <w:pPr>
        <w:spacing w:after="0" w:before="120"/>
        <w:jc w:val="center"/>
      </w:pPr>
      <w:r>
        <w:drawing>
          <wp:inline distT="0" distB="0" distL="0" distR="0">
            <wp:extent cx="2143125" cy="1619250"/>
            <wp:effectExtent t="0" r="0" b="0" l="0"/>
            <wp:docPr id="1" name="img2/73_seitenleiste_quartale.png" descr="Abbildung 3: Periodizität und Verdichtung in der Seitenleiste" title="Abbildung 3: Periodizität und Verdichtung in der Seitenle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43125" cy="1619250"/>
                    </a:xfrm>
                    <a:prstGeom prst="rect">
                      <a:avLst/>
                    </a:prstGeom>
                  </pic:spPr>
                </pic:pic>
              </a:graphicData>
            </a:graphic>
          </wp:inline>
        </w:drawing>
      </w:r>
    </w:p>
    <w:p>
      <w:pPr>
        <w:spacing w:after="200" w:before="60"/>
        <w:jc w:val="center"/>
      </w:pPr>
      <w:r>
        <w:rPr>
          <w:i/>
          <w:iCs/>
          <w:color w:val="898781"/>
          <w:sz w:val="18"/>
          <w:szCs w:val="18"/>
        </w:rPr>
        <w:t xml:space="preserve">Abbildung 3: Periodizität und Verdichtung in der Seitenleiste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blHeader/>
        </w:trPr>
        <w:tc>
          <w:tcPr>
            <w:tcW w:type="dxa" w:w="3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Einstellung</w:t>
            </w:r>
          </w:p>
        </w:tc>
        <w:tc>
          <w:tcPr>
            <w:tcW w:type="dxa" w:w="6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Wirkung</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Periodizität: automatisch erkennen</w:t>
            </w:r>
          </w:p>
        </w:tc>
        <w:tc>
          <w:tcPr>
            <w:tcW w:type="dxa" w:w="6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Standard. Sind alle Anfallperioden als Quartale lesbar, wird das Dreieck als Quartalsdreieck behandelt, sonst als Jahresdreieck.</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Periodizität: Jahre / Quartale</w:t>
            </w:r>
          </w:p>
        </w:tc>
        <w:tc>
          <w:tcPr>
            <w:tcW w:type="dxa" w:w="6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Legt die Periodizität fest, etwa wenn die Beschriftung nicht erkannt wird. Die Rechnung ist dieselbe; es ändern sich die Beschriftungen und die Möglichkeit zur Verdichtung.</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Quartale zu Jahren verdichten</w:t>
            </w:r>
          </w:p>
        </w:tc>
        <w:tc>
          <w:tcPr>
            <w:tcW w:type="dxa" w:w="6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Wirkt nur bei Quartalsdaten. Summiert die Quartale zu einem Jahresdreieck (Abschnitt 4.4). Bei Jahresdaten ohne Wirkung.</w:t>
            </w:r>
          </w:p>
        </w:tc>
      </w:tr>
    </w:tbl>
    <w:p>
      <w:pPr>
        <w:spacing w:after="120"/>
      </w:pPr>
    </w:p>
    <w:p>
      <w:pPr>
        <w:spacing w:after="120" w:line="276"/>
      </w:pPr>
      <w:r>
        <w:t xml:space="preserve">Die gewählte Periodizität steht in der Zeile über den Reitern, zum Beispiel „Periodizität: Anfallquartale“. Alle Beschriftungen passen sich an: </w:t>
      </w:r>
      <w:r>
        <w:rPr>
          <w:b/>
          <w:bCs/>
        </w:rPr>
        <w:t xml:space="preserve">Anfallquartal / Abwicklungsquartal</w:t>
      </w:r>
      <w:r>
        <w:t xml:space="preserve"> statt Anfalljahr / Abwicklungsjahr, und der Reiter heißt immer </w:t>
      </w:r>
      <w:r>
        <w:rPr>
          <w:b/>
          <w:bCs/>
        </w:rPr>
        <w:t xml:space="preserve">Je Anfallperiode</w:t>
      </w:r>
      <w:r>
        <w:t xml:space="preserve">.</w:t>
      </w:r>
    </w:p>
    <w:p>
      <w:pPr>
        <w:pStyle w:val="Heading2"/>
      </w:pPr>
      <w:r>
        <w:t xml:space="preserve">4.3  Quartalsdaten direkt auswerten</w:t>
      </w:r>
    </w:p>
    <w:p>
      <w:pPr>
        <w:spacing w:after="120" w:line="276"/>
      </w:pPr>
      <w:r>
        <w:t xml:space="preserve">Ohne Verdichtung laufen alle Verfahren auf dem Quartalsdreieck. Die Abwicklungsfaktoren gelten dann von Quartal zu Quartal, Prämien und manuelle Reserve werden je Quartal eingetragen.</w:t>
      </w:r>
    </w:p>
    <w:p>
      <w:pPr>
        <w:spacing w:after="0" w:before="120"/>
        <w:jc w:val="center"/>
      </w:pPr>
      <w:r>
        <w:drawing>
          <wp:inline distT="0" distB="0" distL="0" distR="0">
            <wp:extent cx="6115050" cy="3714750"/>
            <wp:effectExtent t="0" r="0" b="0" l="0"/>
            <wp:docPr id="1" name="img2/70_quartal_daten.png" descr="Abbildung 4: Demo-Quartalsdreieck auf der Seite „Daten“ mit Quartalsprämien" title="Abbildung 4: Demo-Quartalsdreieck auf der Seite „Daten“ mit Quartalspräm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3714750"/>
                    </a:xfrm>
                    <a:prstGeom prst="rect">
                      <a:avLst/>
                    </a:prstGeom>
                  </pic:spPr>
                </pic:pic>
              </a:graphicData>
            </a:graphic>
          </wp:inline>
        </w:drawing>
      </w:r>
    </w:p>
    <w:p>
      <w:pPr>
        <w:spacing w:after="200" w:before="60"/>
        <w:jc w:val="center"/>
      </w:pPr>
      <w:r>
        <w:rPr>
          <w:i/>
          <w:iCs/>
          <w:color w:val="898781"/>
          <w:sz w:val="18"/>
          <w:szCs w:val="18"/>
        </w:rPr>
        <w:t xml:space="preserve">Abbildung 4: Demo-Quartalsdreieck auf der Seite „Daten“ mit Quartalsprämien</w:t>
      </w:r>
    </w:p>
    <w:p>
      <w:pPr>
        <w:spacing w:after="120" w:line="276"/>
      </w:pPr>
      <w:r>
        <w:t xml:space="preserve">Auf der Seite </w:t>
      </w:r>
      <w:r>
        <w:rPr>
          <w:b/>
          <w:bCs/>
        </w:rPr>
        <w:t xml:space="preserve">Je Anfallperiode</w:t>
      </w:r>
      <w:r>
        <w:t xml:space="preserve"> lässt sich jedes einzelne Anfallquartal mit allen Verfahren betrachten. Das jüngste Quartal 2024Q4 ist erst ein Quartal alt; Chain Ladder schätzt einen Entwicklungsgrad von 25,0 % und eine Reserve von 6.573 bei einem Mack-Standardfehler von 707.</w:t>
      </w:r>
    </w:p>
    <w:p>
      <w:pPr>
        <w:spacing w:after="0" w:before="120"/>
        <w:jc w:val="center"/>
      </w:pPr>
      <w:r>
        <w:drawing>
          <wp:inline distT="0" distB="0" distL="0" distR="0">
            <wp:extent cx="6115050" cy="2133600"/>
            <wp:effectExtent t="0" r="0" b="0" l="0"/>
            <wp:docPr id="1" name="img2/71_quartal_einzel.png" descr="Abbildung 5: Einzelnes Anfallquartal (2024Q4) mit allen Verfahren" title="Abbildung 5: Einzelnes Anfallquartal (2024Q4) mit allen Verfa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2133600"/>
                    </a:xfrm>
                    <a:prstGeom prst="rect">
                      <a:avLst/>
                    </a:prstGeom>
                  </pic:spPr>
                </pic:pic>
              </a:graphicData>
            </a:graphic>
          </wp:inline>
        </w:drawing>
      </w:r>
    </w:p>
    <w:p>
      <w:pPr>
        <w:spacing w:after="200" w:before="60"/>
        <w:jc w:val="center"/>
      </w:pPr>
      <w:r>
        <w:rPr>
          <w:i/>
          <w:iCs/>
          <w:color w:val="898781"/>
          <w:sz w:val="18"/>
          <w:szCs w:val="18"/>
        </w:rPr>
        <w:t xml:space="preserve">Abbildung 5: Einzelnes Anfallquartal (2024Q4) mit allen Verfahren</w:t>
      </w:r>
    </w:p>
    <w:p>
      <w:pPr>
        <w:spacing w:after="120" w:line="276"/>
      </w:pPr>
      <w:r>
        <w:t xml:space="preserve">Für das gesamte Demo-Quartalsdreieck ergibt Chain Ladder eine Reserve von </w:t>
      </w:r>
      <w:r>
        <w:rPr>
          <w:b/>
          <w:bCs/>
        </w:rPr>
        <w:t xml:space="preserve">21.032</w:t>
      </w:r>
      <w:r>
        <w:t xml:space="preserve"> mit einem Mack-Standardfehler von </w:t>
      </w:r>
      <w:r>
        <w:rPr>
          <w:b/>
          <w:bCs/>
        </w:rPr>
        <w:t xml:space="preserve">856</w:t>
      </w:r>
      <w:r>
        <w:t xml:space="preserve">.</w:t>
      </w:r>
    </w:p>
    <w:p>
      <w:pPr>
        <w:pStyle w:val="Heading2"/>
      </w:pPr>
      <w:r>
        <w:t xml:space="preserve">4.4  Quartale zu Jahren verdichten</w:t>
      </w:r>
    </w:p>
    <w:p>
      <w:pPr>
        <w:spacing w:after="120" w:line="276"/>
      </w:pPr>
      <w:r>
        <w:t xml:space="preserve">Mit dem Häkchen </w:t>
      </w:r>
      <w:r>
        <w:rPr>
          <w:b/>
          <w:bCs/>
        </w:rPr>
        <w:t xml:space="preserve">„Quartale zu Jahren verdichten“</w:t>
      </w:r>
      <w:r>
        <w:t xml:space="preserve"> wird aus dem Quartalsdreieck ein Jahresdreieck. Der Wert eines Anfalljahres im Abwicklungsjahr k ist die </w:t>
      </w:r>
      <w:r>
        <w:rPr>
          <w:b/>
          <w:bCs/>
        </w:rPr>
        <w:t xml:space="preserve">Summe seiner vier Anfallquartale</w:t>
      </w:r>
      <w:r>
        <w:t xml:space="preserve">, jeweils zum Stand </w:t>
      </w:r>
      <w:r>
        <w:rPr>
          <w:b/>
          <w:bCs/>
        </w:rPr>
        <w:t xml:space="preserve">31.12. des Kalenderjahres (Anfalljahr + k − 1)</w:t>
      </w:r>
      <w:r>
        <w:t xml:space="preserve">. Für das Anfallquartal q ist das Abwicklungsquartal 4k − q + 1:</w:t>
      </w:r>
    </w:p>
    <w:p>
      <w:pPr>
        <w:shd w:fill="F6F6F3" w:val="clear"/>
        <w:spacing w:after="140" w:before="80" w:line="300"/>
        <w:ind w:left="567"/>
        <w:jc w:val="left"/>
      </w:pPr>
      <w:r>
        <w:rPr>
          <w:rFonts w:ascii="Cambria Math" w:cs="Cambria Math" w:eastAsia="Cambria Math" w:hAnsi="Cambria Math"/>
          <w:sz w:val="22"/>
          <w:szCs w:val="22"/>
        </w:rPr>
        <w:t xml:space="preserve">C_Jahr(a, k) = Σ C_Quartal(a/q, 4k − q + 1)     (Summe über q = 1 … 4)</w:t>
      </w:r>
    </w:p>
    <w:p>
      <w:pPr>
        <w:spacing w:after="120" w:line="276"/>
      </w:pPr>
      <w:r>
        <w:t xml:space="preserve">Beispiel Anfalljahr 2022, Abwicklungsjahr 2 (Stand 31.12.2023): 2022Q1 im 8. Abwicklungsquartal (5.721) + 2022Q2 im 7. (5.753) + 2022Q3 im 6. (6.345) + 2022Q4 im 5. (4.957) = </w:t>
      </w:r>
      <w:r>
        <w:rPr>
          <w:b/>
          <w:bCs/>
        </w:rPr>
        <w:t xml:space="preserve">22.776</w:t>
      </w:r>
      <w:r>
        <w:t xml:space="preserve">.</w:t>
      </w:r>
    </w:p>
    <w:p>
      <w:pPr>
        <w:spacing w:after="0" w:before="120"/>
        <w:jc w:val="center"/>
      </w:pPr>
      <w:r>
        <w:drawing>
          <wp:inline distT="0" distB="0" distL="0" distR="0">
            <wp:extent cx="6115050" cy="1924050"/>
            <wp:effectExtent t="0" r="0" b="0" l="0"/>
            <wp:docPr id="1" name="img2/72_quartal_verdichtet.png" descr="Abbildung 6: Das zu Jahren verdichtete Demo-Dreieck mit Jahresprämien" title="Abbildung 6: Das zu Jahren verdichtete Demo-Dreieck mit Jahrespräm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1924050"/>
                    </a:xfrm>
                    <a:prstGeom prst="rect">
                      <a:avLst/>
                    </a:prstGeom>
                  </pic:spPr>
                </pic:pic>
              </a:graphicData>
            </a:graphic>
          </wp:inline>
        </w:drawing>
      </w:r>
    </w:p>
    <w:p>
      <w:pPr>
        <w:spacing w:after="200" w:before="60"/>
        <w:jc w:val="center"/>
      </w:pPr>
      <w:r>
        <w:rPr>
          <w:i/>
          <w:iCs/>
          <w:color w:val="898781"/>
          <w:sz w:val="18"/>
          <w:szCs w:val="18"/>
        </w:rPr>
        <w:t xml:space="preserve">Abbildung 6: Das zu Jahren verdichtete Demo-Dreieck mit Jahresprämien</w:t>
      </w:r>
    </w:p>
    <w:p>
      <w:pPr>
        <w:pStyle w:val="ListParagraph"/>
        <w:numPr>
          <w:ilvl w:val="0"/>
          <w:numId w:val="2"/>
        </w:numPr>
        <w:spacing w:after="60" w:line="264"/>
      </w:pPr>
      <w:r>
        <w:rPr>
          <w:b/>
          <w:bCs/>
        </w:rPr>
        <w:t xml:space="preserve">Prämien und manuelle Reserve</w:t>
      </w:r>
      <w:r>
        <w:t xml:space="preserve"> werden nach der Verdichtung je Jahr eingetragen. Bei den Demo-Daten summiert die App die Quartalsprämien automatisch (36.820, 39.080, 41.470, 44.020). In Dateien für die Kommandozeile dürfen Prämien und manuelle Reserve auch je Quartal stehen; sie werden dann automatisch zu Jahren aufsummiert.</w:t>
      </w:r>
    </w:p>
    <w:p>
      <w:pPr>
        <w:pStyle w:val="ListParagraph"/>
        <w:numPr>
          <w:ilvl w:val="0"/>
          <w:numId w:val="2"/>
        </w:numPr>
        <w:spacing w:after="60" w:line="264"/>
      </w:pPr>
      <w:r>
        <w:rPr>
          <w:b/>
          <w:bCs/>
        </w:rPr>
        <w:t xml:space="preserve">Unterjähriger Datenstand:</w:t>
      </w:r>
      <w:r>
        <w:t xml:space="preserve"> Endet das Dreieck nicht mit einem vierten Quartal, verwendet die Verdichtung den Stand zum letzten Jahresende; spätere Quartale gehen nicht ein. Die App weist darauf hin, zum Beispiel: „Der Datenstand endet im Quartal 2025Q2. Die Jahresverdichtung verwendet den Stand zum 31.12.2024“.</w:t>
      </w:r>
    </w:p>
    <w:p>
      <w:pPr>
        <w:pStyle w:val="ListParagraph"/>
        <w:numPr>
          <w:ilvl w:val="0"/>
          <w:numId w:val="2"/>
        </w:numPr>
        <w:spacing w:after="60" w:line="264"/>
      </w:pPr>
      <w:r>
        <w:rPr>
          <w:b/>
          <w:bCs/>
        </w:rPr>
        <w:t xml:space="preserve">Unvollständige Anfalljahre:</w:t>
      </w:r>
      <w:r>
        <w:t xml:space="preserve"> Fehlen einem Anfalljahr Quartale, erscheint ein Hinweis; das Jahr wird mit den vorhandenen Quartalen gebildet.</w:t>
      </w:r>
    </w:p>
    <w:p>
      <w:pPr>
        <w:pStyle w:val="Heading2"/>
      </w:pPr>
      <w:r>
        <w:t xml:space="preserve">4.5  Quartal oder Jahr?</w:t>
      </w:r>
    </w:p>
    <w:p>
      <w:pPr>
        <w:spacing w:after="120" w:line="276"/>
      </w:pPr>
      <w:r>
        <w:t xml:space="preserve">Auf dem verdichteten Dreieck ergibt Chain Ladder für die Demo-Daten eine Reserve von </w:t>
      </w:r>
      <w:r>
        <w:rPr>
          <w:b/>
          <w:bCs/>
        </w:rPr>
        <w:t xml:space="preserve">19.806</w:t>
      </w:r>
      <w:r>
        <w:t xml:space="preserve"> (Mack-Standardfehler 416) statt 21.032 auf Quartalsbasis. Beide Ergebnisse sind richtig gerechnet; sie beantworten eine leicht unterschiedliche Frage: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919"/>
        <w:gridCol w:w="3919"/>
      </w:tblGrid>
      <w:tr>
        <w:trPr>
          <w:tblHeader/>
        </w:trPr>
        <w:tc>
          <w:tcPr>
            <w:tcW w:type="dxa" w:w="18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Aspekt</w:t>
            </w:r>
          </w:p>
        </w:tc>
        <w:tc>
          <w:tcPr>
            <w:tcW w:type="dxa" w:w="3919"/>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Direkt auf Quartalen</w:t>
            </w:r>
          </w:p>
        </w:tc>
        <w:tc>
          <w:tcPr>
            <w:tcW w:type="dxa" w:w="3919"/>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Zu Jahren verdichtet</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Hochrechnung</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Jedes Quartal wird bis zum letzten beobachteten Abwicklungsquartal (hier 16) hochgerechnet.</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Das älteste Anfalljahr gilt nach vier Abwicklungsjahren als abgewickelt; spätere Quartale seiner jüngeren Anfallquartale fehlen (ggf. Tail-Faktor setzen).</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Datenmenge</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Viele Faktoren, aber jeder aus kleineren, volatileren Werten.</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Kleineres Dreieck (hier 4 × 4). Mack und Bootstrap haben weniger Datenpunkte und werden unsicherer geschätzt.</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Saisonalität</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Wird sichtbar, wenn einzelne Quartale anders abwickeln.</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Gleicht sich innerhalb des Jahres aus.</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Aktualität</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Nutzt auch einen unterjährigen Datenstand.</w:t>
            </w:r>
          </w:p>
        </w:tc>
        <w:tc>
          <w:tcPr>
            <w:tcW w:type="dxa" w:w="3919"/>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Nutzt nur Stände zum Jahresende.</w:t>
            </w:r>
          </w:p>
        </w:tc>
      </w:tr>
    </w:tbl>
    <w:p>
      <w:pPr>
        <w:spacing w:after="120"/>
      </w:pPr>
    </w:p>
    <w:p>
      <w:pPr>
        <w:pBdr>
          <w:left w:val="single" w:color="2A78D6" w:sz="18" w:space="8"/>
        </w:pBdr>
        <w:shd w:fill="F3F7FD" w:val="clear"/>
        <w:spacing w:after="40" w:before="120"/>
        <w:ind w:left="200" w:right="200"/>
      </w:pPr>
      <w:r>
        <w:rPr>
          <w:b/>
          <w:bCs/>
          <w:color w:val="2A78D6"/>
        </w:rPr>
        <w:t xml:space="preserve">Empfehlung</w:t>
      </w:r>
    </w:p>
    <w:p>
      <w:pPr>
        <w:pBdr>
          <w:left w:val="single" w:color="2A78D6" w:sz="18" w:space="8"/>
        </w:pBdr>
        <w:shd w:fill="F3F7FD" w:val="clear"/>
        <w:spacing w:after="160" w:before="0" w:line="264"/>
        <w:ind w:left="200" w:right="200"/>
      </w:pPr>
      <w:r>
        <w:t xml:space="preserve">Für ein kleines Quartalsdreieck liefert die Auswertung auf Quartalsbasis meist stabilere Mack- und Bootstrap-Ergebnisse. Die Verdichtung ist sinnvoll, wenn Ergebnisse je Anfalljahr berichtet werden sollen oder die Quartalswerte sehr volatil sind. Bei langer Abwicklung sollte nach der Verdichtung ein Tail-Faktor geprüft werden.</w:t>
      </w:r>
    </w:p>
    <w:p>
      <w:pPr>
        <w:pStyle w:val="Heading1"/>
        <w:pageBreakBefore/>
      </w:pPr>
      <w:r>
        <w:t xml:space="preserve">5  Parameter in der Seitenleiste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938"/>
      </w:tblGrid>
      <w:tr>
        <w:tc>
          <w:tcPr>
            <w:tcW w:type="dxa" w:w="2700"/>
            <w:tcBorders>
              <w:top w:val="none" w:color="FFFFFF" w:sz="0"/>
              <w:left w:val="none" w:color="FFFFFF" w:sz="0"/>
              <w:bottom w:val="none" w:color="FFFFFF" w:sz="0"/>
              <w:right w:val="none" w:color="FFFFFF" w:sz="0"/>
            </w:tcBorders>
          </w:tcPr>
          <w:p>
            <w:r>
              <w:drawing>
                <wp:inline distT="0" distB="0" distL="0" distR="0">
                  <wp:extent cx="1428750" cy="5467350"/>
                  <wp:effectExtent t="0" r="0" b="0" l="0"/>
                  <wp:docPr id="1" name="Seitenleiste" descr="Seitenleiste der App" title="Seitenle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28750" cy="5467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left w:type="dxa" w:w="200"/>
            </w:tcMar>
          </w:tcPr>
          <w:p>
            <w:pPr>
              <w:spacing w:after="120" w:line="276"/>
            </w:pPr>
            <w:r>
              <w:t xml:space="preserve">Die Seitenleiste enthält die Datenquelle, die Periodizität und sechs Parameter. Jede Änderung wird sofort in allen Ergebnissen übernommen.</w:t>
            </w:r>
          </w:p>
          <w:p>
            <w:pPr>
              <w:spacing w:after="120" w:line="276"/>
            </w:pPr>
            <w:r>
              <w:t xml:space="preserve">Rechenzeit: Nur der Bootstrap ist rechenintensiv. Die App rechnet ihn ausschließlich neu, wenn sich Dreieck, Tail-Faktor, Anzahl Simulationen oder Zufallsstartwert ändern – nicht bei Änderungen an Schadenquote, Prämien oder manueller Reserve.</w:t>
            </w:r>
          </w:p>
          <w:p>
            <w:pPr>
              <w:spacing w:after="120" w:line="276"/>
            </w:pPr>
            <w:r>
              <w:t xml:space="preserve">Die Tabelle unten beschreibt jeden Parameter und gibt eine Empfehlung für den Einstieg.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900"/>
        <w:gridCol w:w="3438"/>
      </w:tblGrid>
      <w:tr>
        <w:trPr>
          <w:tblHeader/>
        </w:trPr>
        <w:tc>
          <w:tcPr>
            <w:tcW w:type="dxa" w:w="2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Parameter</w:t>
            </w:r>
          </w:p>
        </w:tc>
        <w:tc>
          <w:tcPr>
            <w:tcW w:type="dxa" w:w="3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Wirkung</w:t>
            </w:r>
          </w:p>
        </w:tc>
        <w:tc>
          <w:tcPr>
            <w:tcW w:type="dxa" w:w="3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Empfehlung</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Periodizität</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Jahre, Quartale oder automatische Erkennung (Kapitel 4).</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„automatisch erkennen“.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Quartale zu Jahren verdichten</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Bildet aus einem Quartalsdreieck ein Jahresdreieck.</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Nur bei Bedarf (Abschnitt 4.5).</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Werte im Dreieck</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Kennzeichnet das eingelesene Dreieck als kumuliert oder inkrementell.</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 die Datei anpassen.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Prämienbasierte Verfahren</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Schaltet ELR, BF, Cape Cod und Additiv ein oder aus.</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 sobald Prämien vorliegen.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Cape-Cod-Quote als A-priori-Quote</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Verwendet die aus den Daten geschätzte Cape-Cod-Schadenquote als Erwartung für ELR und BF.</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Aus. Ist sie an, liefern ELR, BF und Cape Cod rechnerisch dieselbe Gesamtreserve – der Vergleich verliert an Aussagekraft.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A-priori-Schadenquote (%)</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Erwartete Endschadenquote je Anfallperiode vor Kenntnis der Abwicklung. Grundlage für ELR und BF.</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Aus Planung, Tarifkalkulation oder Marktdaten ableiten – nicht aus demselben Dreieck, sonst doppelt gezählt.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Tail-Faktor</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Zusätzlicher Faktor für die Abwicklung nach der letzten beobachteten Abwicklungsperiode. 1,000 = keine weitere Entwicklung.</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1,000, wenn die älteste Anfallperiode ausgelaufen ist; sonst fachlich begründet (Kurvenanpassung, Marktstudien).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Bootstrap-Simulationen</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Anzahl simulierter Dreiecke. 0 schaltet den Bootstrap ab.</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5.000 für die Analyse, 10.000–20.000 für stabile Quantile im Bericht.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Zufallsstartwert</w:t>
            </w:r>
          </w:p>
        </w:tc>
        <w:tc>
          <w:tcPr>
            <w:tcW w:type="dxa" w:w="3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Startwert des Zufallsgenerators. Gleicher Wert = gleiche Bootstrap-Ergebnisse.</w:t>
            </w:r>
          </w:p>
        </w:tc>
        <w:tc>
          <w:tcPr>
            <w:tcW w:type="dxa" w:w="3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Beliebig, aber festhalten, damit Ergebnisse reproduzierbar sind.</w:t>
            </w:r>
          </w:p>
        </w:tc>
      </w:tr>
    </w:tbl>
    <w:p>
      <w:pPr>
        <w:pStyle w:val="Heading1"/>
        <w:pageBreakBefore/>
      </w:pPr>
      <w:r>
        <w:t xml:space="preserve">6  Die Seiten und ihre Ergebnisse</w:t>
      </w:r>
    </w:p>
    <w:p>
      <w:pPr>
        <w:spacing w:after="120" w:line="276"/>
      </w:pPr>
      <w:r>
        <w:t xml:space="preserve">Dieses Kapitel erklärt jede Seite der App: was sie zeigt und wie die Ausgaben zu lesen sind. Alle Zahlen stammen aus dem Demo-Dreieck (RAA) mit A-priori-Schadenquote 70 %, ohne Tail-Faktor und mit 5.000 Bootstrap-Simulationen. Die Ergänzungen durch eine manuelle Reserve beschreibt Kapitel 7.</w:t>
      </w:r>
    </w:p>
    <w:p>
      <w:pPr>
        <w:pStyle w:val="Heading2"/>
      </w:pPr>
      <w:r>
        <w:t xml:space="preserve">6.1  Übersicht</w:t>
      </w:r>
    </w:p>
    <w:p>
      <w:pPr>
        <w:spacing w:after="0" w:before="120"/>
        <w:jc w:val="center"/>
      </w:pPr>
      <w:r>
        <w:drawing>
          <wp:inline distT="0" distB="0" distL="0" distR="0">
            <wp:extent cx="6115050" cy="5143500"/>
            <wp:effectExtent t="0" r="0" b="0" l="0"/>
            <wp:docPr id="1" name="img2/10_uebersicht.png" descr="Abbildung 7: Seite „Übersicht“" title="Abbildung 7: Seite „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5050" cy="5143500"/>
                    </a:xfrm>
                    <a:prstGeom prst="rect">
                      <a:avLst/>
                    </a:prstGeom>
                  </pic:spPr>
                </pic:pic>
              </a:graphicData>
            </a:graphic>
          </wp:inline>
        </w:drawing>
      </w:r>
    </w:p>
    <w:p>
      <w:pPr>
        <w:spacing w:after="200" w:before="60"/>
        <w:jc w:val="center"/>
      </w:pPr>
      <w:r>
        <w:rPr>
          <w:i/>
          <w:iCs/>
          <w:color w:val="898781"/>
          <w:sz w:val="18"/>
          <w:szCs w:val="18"/>
        </w:rPr>
        <w:t xml:space="preserve">Abbildung 7: Seite „Übersicht“</w:t>
      </w:r>
    </w:p>
    <w:p>
      <w:pPr>
        <w:pStyle w:val="Heading3"/>
      </w:pPr>
      <w:r>
        <w:t xml:space="preserve">Kennzahlen (obere Kacheln)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138"/>
        <w:gridCol w:w="2200"/>
      </w:tblGrid>
      <w:tr>
        <w:trPr>
          <w:tblHeader/>
        </w:trPr>
        <w:tc>
          <w:tcPr>
            <w:tcW w:type="dxa" w:w="2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Kachel</w:t>
            </w:r>
          </w:p>
        </w:tc>
        <w:tc>
          <w:tcPr>
            <w:tcW w:type="dxa" w:w="51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c>
          <w:tcPr>
            <w:tcW w:type="dxa" w:w="2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Demo-Wert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Reserve Chain Ladder</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Gesamtreserve nach Chain Ladder; darunter die Summe der aktuellen Diagonale (bereits bekannter Schaden).</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52.135</w:t>
            </w:r>
          </w:p>
          <w:p>
            <w:pPr>
              <w:spacing w:after="20" w:line="252"/>
              <w:jc w:val="right"/>
            </w:pPr>
            <w:r>
              <w:rPr>
                <w:sz w:val="19"/>
                <w:szCs w:val="19"/>
              </w:rPr>
              <w:t xml:space="preserve">Diagonale 160.987</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Mack-Standardfehler</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Prognosefehler der Chain-Ladder-Reserve nach Mack. VK = Standardfehler / Reserve.</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26.909</w:t>
            </w:r>
          </w:p>
          <w:p>
            <w:pPr>
              <w:spacing w:after="20" w:line="252"/>
              <w:jc w:val="right"/>
            </w:pPr>
            <w:r>
              <w:rPr>
                <w:sz w:val="19"/>
                <w:szCs w:val="19"/>
              </w:rPr>
              <w:t xml:space="preserve">VK 51,6 %</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Spanne der Verfahren</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Kleinste und größte Gesamtreserve über alle sechs Verfahren, darunter der Median.</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52.135 – 74.563</w:t>
            </w:r>
          </w:p>
          <w:p>
            <w:pPr>
              <w:spacing w:after="20" w:line="252"/>
              <w:jc w:val="right"/>
            </w:pPr>
            <w:r>
              <w:rPr>
                <w:sz w:val="19"/>
                <w:szCs w:val="19"/>
              </w:rPr>
              <w:t xml:space="preserve">Median 66.838</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Bootstrap 99,5 %-Quantil</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Reserve, die in 99,5 % der Simulationen nicht überschritten wird; darunter der Mittelwert.</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115.309</w:t>
            </w:r>
          </w:p>
          <w:p>
            <w:pPr>
              <w:spacing w:after="20" w:line="252"/>
              <w:jc w:val="right"/>
            </w:pPr>
            <w:r>
              <w:rPr>
                <w:sz w:val="19"/>
                <w:szCs w:val="19"/>
              </w:rPr>
              <w:t xml:space="preserve">Mittel 54.150</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Manuelle Reserve</w:t>
            </w:r>
          </w:p>
        </w:tc>
        <w:tc>
          <w:tcPr>
            <w:tcW w:type="dxa" w:w="51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Nur mit Benchmark: eigene Reserve, Abweichung zu Chain Ladder und Sicherheitsniveau (Kapitel 7).</w:t>
            </w:r>
          </w:p>
        </w:tc>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62.600</w:t>
            </w:r>
          </w:p>
          <w:p>
            <w:pPr>
              <w:spacing w:after="20" w:line="252"/>
              <w:jc w:val="right"/>
            </w:pPr>
            <w:r>
              <w:rPr>
                <w:sz w:val="19"/>
                <w:szCs w:val="19"/>
              </w:rPr>
              <w:t xml:space="preserve">+20,1 % zu CL</w:t>
            </w:r>
          </w:p>
        </w:tc>
      </w:tr>
    </w:tbl>
    <w:p>
      <w:pPr>
        <w:spacing w:after="120"/>
      </w:pPr>
    </w:p>
    <w:p>
      <w:pPr>
        <w:pStyle w:val="Heading3"/>
      </w:pPr>
      <w:r>
        <w:t xml:space="preserve">Diagramm „Gesamtreserve je Verfahren“</w:t>
      </w:r>
    </w:p>
    <w:p>
      <w:pPr>
        <w:spacing w:after="120" w:line="276"/>
      </w:pPr>
      <w:r>
        <w:t xml:space="preserve">Ein Balken je Verfahren. Die </w:t>
      </w:r>
      <w:r>
        <w:rPr>
          <w:b/>
          <w:bCs/>
        </w:rPr>
        <w:t xml:space="preserve">schwarze Linie</w:t>
      </w:r>
      <w:r>
        <w:t xml:space="preserve"> zeigt ±1 Standardfehler (nur Chain Ladder/Mack und Bootstrap haben einen). Die </w:t>
      </w:r>
      <w:r>
        <w:rPr>
          <w:b/>
          <w:bCs/>
        </w:rPr>
        <w:t xml:space="preserve">gestrichelte Linie</w:t>
      </w:r>
      <w:r>
        <w:t xml:space="preserve"> markiert die Chain-Ladder-Reserve als Referenz. Beim Überfahren mit der Maus erscheinen die genauen Werte.</w:t>
      </w:r>
    </w:p>
    <w:p>
      <w:pPr>
        <w:pStyle w:val="Heading3"/>
      </w:pPr>
      <w:r>
        <w:t xml:space="preserve">Tabelle „Vergleich“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Spalte</w:t>
            </w:r>
          </w:p>
        </w:tc>
        <w:tc>
          <w:tcPr>
            <w:tcW w:type="dxa" w:w="7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Reserve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Summe der Reserven über alle Anfallperioden.</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Ultimate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Geschätzter Endschaden = Diagonale + Reserve.</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 zu CL</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Relative Abweichung der Reserve zur Chain-Ladder-Reserve.</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 zu Benchmark</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Nur mit Benchmark: relative Abweichung der Reserve zur manuellen Reserve.</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Standardfehler (nur Chain Ladder/Mack und Bootstrap).</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VK</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Variationskoeffizient = SE / Reserve; relatives Maß für die Unsicherheit.</w:t>
            </w:r>
          </w:p>
        </w:tc>
      </w:tr>
    </w:tbl>
    <w:p>
      <w:pPr>
        <w:spacing w:after="120"/>
      </w:pPr>
    </w:p>
    <w:p>
      <w:pPr>
        <w:pStyle w:val="Heading3"/>
      </w:pPr>
      <w:r>
        <w:t xml:space="preserve">Tabelle „Quantile der Gesamtreserve“</w:t>
      </w:r>
    </w:p>
    <w:p>
      <w:pPr>
        <w:spacing w:after="120" w:line="276"/>
      </w:pPr>
      <w:r>
        <w:t xml:space="preserve">Zeigt für Chain Ladder und Bootstrap Erwartungswert, Standardfehler und die Quantile 75 %, 95 % und 99,5 %. Für Chain Ladder beruhen die Quantile auf einer </w:t>
      </w:r>
      <w:r>
        <w:rPr>
          <w:b/>
          <w:bCs/>
        </w:rPr>
        <w:t xml:space="preserve">Lognormal-Annahme</w:t>
      </w:r>
      <w:r>
        <w:t xml:space="preserve"> mit Mittelwert und Standardfehler nach Mack, für den Bootstrap auf der </w:t>
      </w:r>
      <w:r>
        <w:rPr>
          <w:b/>
          <w:bCs/>
        </w:rPr>
        <w:t xml:space="preserve">simulierten Verteilung</w:t>
      </w:r>
      <w:r>
        <w:t xml:space="preserve">. Darunter stehen die verwendete A-priori-Schadenquote und die Cape-Cod-Quote.</w:t>
      </w:r>
    </w:p>
    <w:p>
      <w:pPr>
        <w:pStyle w:val="Heading3"/>
      </w:pPr>
      <w:r>
        <w:t xml:space="preserve">Excel-Export</w:t>
      </w:r>
    </w:p>
    <w:p>
      <w:pPr>
        <w:spacing w:after="120" w:line="276"/>
      </w:pPr>
      <w:r>
        <w:t xml:space="preserve">Der Button </w:t>
      </w:r>
      <w:r>
        <w:rPr>
          <w:b/>
          <w:bCs/>
        </w:rPr>
        <w:t xml:space="preserve">„Alle Ergebnisse als Excel herunterladen“</w:t>
      </w:r>
      <w:r>
        <w:t xml:space="preserve"> erzeugt eine Arbeitsmappe mit den Blättern Parameter, Dreieck, CL-Projektion, Faktoren, Reserven, Ultimates und Vergleich; mit Benchmark zusätzlich das Blatt </w:t>
      </w:r>
      <w:r>
        <w:rPr>
          <w:b/>
          <w:bCs/>
        </w:rPr>
        <w:t xml:space="preserve">Benchmark</w:t>
      </w:r>
      <w:r>
        <w:t xml:space="preserve">. Die Werte sind ungerundet und eignen sich für die Weiterverarbeitung und Dokumentation.</w:t>
      </w:r>
    </w:p>
    <w:p>
      <w:pPr>
        <w:pStyle w:val="Heading2"/>
      </w:pPr>
      <w:r>
        <w:t xml:space="preserve">6.2  Je Anfallperiode</w:t>
      </w:r>
    </w:p>
    <w:p>
      <w:pPr>
        <w:spacing w:after="120" w:line="276"/>
      </w:pPr>
      <w:r>
        <w:t xml:space="preserve">Diese Seite beantwortet die Frage, </w:t>
      </w:r>
      <w:r>
        <w:rPr>
          <w:b/>
          <w:bCs/>
        </w:rPr>
        <w:t xml:space="preserve">wo</w:t>
      </w:r>
      <w:r>
        <w:t xml:space="preserve"> die Reserve entsteht und </w:t>
      </w:r>
      <w:r>
        <w:rPr>
          <w:b/>
          <w:bCs/>
        </w:rPr>
        <w:t xml:space="preserve">welche Anfallperioden</w:t>
      </w:r>
      <w:r>
        <w:t xml:space="preserve"> für Unterschiede zwischen den Verfahren verantwortlich sind. Bei Quartalsdaten heißt die Auswahl „Anfallquartal“ (Abschnitt 4.3).</w:t>
      </w:r>
    </w:p>
    <w:p>
      <w:pPr>
        <w:pStyle w:val="Heading3"/>
      </w:pPr>
      <w:r>
        <w:t xml:space="preserve">Einzelne Anfallperiode – alle Verfahren</w:t>
      </w:r>
    </w:p>
    <w:p>
      <w:pPr>
        <w:spacing w:after="0" w:before="120"/>
        <w:jc w:val="center"/>
      </w:pPr>
      <w:r>
        <w:drawing>
          <wp:inline distT="0" distB="0" distL="0" distR="0">
            <wp:extent cx="6115050" cy="2133600"/>
            <wp:effectExtent t="0" r="0" b="0" l="0"/>
            <wp:docPr id="1" name="img2/20_einzeljahr.png" descr="Abbildung 8: Einzelnes Anfalljahr (hier 1990) mit allen Verfahren" title="Abbildung 8: Einzelnes Anfalljahr (hier 1990) mit allen Verfa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15050" cy="2133600"/>
                    </a:xfrm>
                    <a:prstGeom prst="rect">
                      <a:avLst/>
                    </a:prstGeom>
                  </pic:spPr>
                </pic:pic>
              </a:graphicData>
            </a:graphic>
          </wp:inline>
        </w:drawing>
      </w:r>
    </w:p>
    <w:p>
      <w:pPr>
        <w:spacing w:after="200" w:before="60"/>
        <w:jc w:val="center"/>
      </w:pPr>
      <w:r>
        <w:rPr>
          <w:i/>
          <w:iCs/>
          <w:color w:val="898781"/>
          <w:sz w:val="18"/>
          <w:szCs w:val="18"/>
        </w:rPr>
        <w:t xml:space="preserve">Abbildung 8: Einzelnes Anfalljahr (hier 1990) mit allen Verfahren</w:t>
      </w:r>
    </w:p>
    <w:p>
      <w:pPr>
        <w:spacing w:after="120" w:line="276"/>
      </w:pPr>
      <w:r>
        <w:t xml:space="preserve">Oben wird eine Anfallperiode ausgewählt. Die Zeile darunter zeigt ihre Eckdaten:</w:t>
      </w:r>
    </w:p>
    <w:p>
      <w:pPr>
        <w:pStyle w:val="ListParagraph"/>
        <w:numPr>
          <w:ilvl w:val="0"/>
          <w:numId w:val="2"/>
        </w:numPr>
        <w:spacing w:after="60" w:line="264"/>
      </w:pPr>
      <w:r>
        <w:rPr>
          <w:b/>
          <w:bCs/>
        </w:rPr>
        <w:t xml:space="preserve">Diagonale:</w:t>
      </w:r>
      <w:r>
        <w:t xml:space="preserve"> bisher bekannter Schaden.</w:t>
      </w:r>
    </w:p>
    <w:p>
      <w:pPr>
        <w:pStyle w:val="ListParagraph"/>
        <w:numPr>
          <w:ilvl w:val="0"/>
          <w:numId w:val="2"/>
        </w:numPr>
        <w:spacing w:after="60" w:line="264"/>
      </w:pPr>
      <w:r>
        <w:rPr>
          <w:b/>
          <w:bCs/>
        </w:rPr>
        <w:t xml:space="preserve">Entwicklungsgrad (CL):</w:t>
      </w:r>
      <w:r>
        <w:t xml:space="preserve"> Anteil des bekannten Schadens am Chain-Ladder-Endschaden (= 1 / CDF). 11,2 % bedeutet: fast 90 % des erwarteten Schadens sind noch nicht sichtbar.</w:t>
      </w:r>
    </w:p>
    <w:p>
      <w:pPr>
        <w:pStyle w:val="ListParagraph"/>
        <w:numPr>
          <w:ilvl w:val="0"/>
          <w:numId w:val="2"/>
        </w:numPr>
        <w:spacing w:after="60" w:line="264"/>
      </w:pPr>
      <w:r>
        <w:rPr>
          <w:b/>
          <w:bCs/>
        </w:rPr>
        <w:t xml:space="preserve">Beobachtete Abwicklungsperioden</w:t>
      </w:r>
      <w:r>
        <w:t xml:space="preserve"> und </w:t>
      </w:r>
      <w:r>
        <w:rPr>
          <w:b/>
          <w:bCs/>
        </w:rPr>
        <w:t xml:space="preserve">Prämie</w:t>
      </w:r>
      <w:r>
        <w:t xml:space="preserve"> der Periode.</w:t>
      </w:r>
    </w:p>
    <w:p>
      <w:pPr>
        <w:spacing w:after="120" w:line="276"/>
      </w:pPr>
      <w:r>
        <w:t xml:space="preserve">Balkendiagramm und Tabelle zeigen für jedes Verfahren Reserve, Endschaden, Abweichung zu Chain Ladder, Standardfehler und die </w:t>
      </w:r>
      <w:r>
        <w:rPr>
          <w:b/>
          <w:bCs/>
        </w:rPr>
        <w:t xml:space="preserve">implizite Schadenquote</w:t>
      </w:r>
      <w:r>
        <w:t xml:space="preserve"> (Endschaden / Prämie). Die Schadenquote ist ein guter Plausibilitätscheck: Weicht sie stark von der Erfahrung für das Geschäft ab, sollte das Ergebnis hinterfragt werden.</w:t>
      </w:r>
    </w:p>
    <w:p>
      <w:pPr>
        <w:pStyle w:val="Heading3"/>
      </w:pPr>
      <w:r>
        <w:t xml:space="preserve">Alle Anfallperioden</w:t>
      </w:r>
    </w:p>
    <w:p>
      <w:pPr>
        <w:spacing w:after="0" w:before="120"/>
        <w:jc w:val="center"/>
      </w:pPr>
      <w:r>
        <w:drawing>
          <wp:inline distT="0" distB="0" distL="0" distR="0">
            <wp:extent cx="6115050" cy="2790825"/>
            <wp:effectExtent t="0" r="0" b="0" l="0"/>
            <wp:docPr id="1" name="img2/21_alle_jahre.png" descr="Abbildung 9: Reserve je Anfalljahr für ausgewählte Verfahren" title="Abbildung 9: Reserve je Anfalljahr für ausgewählte Verfa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15050" cy="2790825"/>
                    </a:xfrm>
                    <a:prstGeom prst="rect">
                      <a:avLst/>
                    </a:prstGeom>
                  </pic:spPr>
                </pic:pic>
              </a:graphicData>
            </a:graphic>
          </wp:inline>
        </w:drawing>
      </w:r>
    </w:p>
    <w:p>
      <w:pPr>
        <w:spacing w:after="200" w:before="60"/>
        <w:jc w:val="center"/>
      </w:pPr>
      <w:r>
        <w:rPr>
          <w:i/>
          <w:iCs/>
          <w:color w:val="898781"/>
          <w:sz w:val="18"/>
          <w:szCs w:val="18"/>
        </w:rPr>
        <w:t xml:space="preserve">Abbildung 9: Reserve je Anfalljahr für ausgewählte Verfahren</w:t>
      </w:r>
    </w:p>
    <w:p>
      <w:pPr>
        <w:spacing w:after="120" w:line="276"/>
      </w:pPr>
      <w:r>
        <w:t xml:space="preserve">Das Liniendiagramm zeigt die Reserve je Anfallperiode für die gewählten Verfahren (Auswahl über das Feld „Verfahren im Diagramm“). Typisch ist ein Anstieg zu den jungen Perioden hin, weil dort noch der größte Teil des Schadens aussteht. Laufen die Linien erst in den jüngsten Perioden auseinander, liegt der Unterschied an der Behandlung wenig entwickelter Perioden.</w:t>
      </w:r>
    </w:p>
    <w:p>
      <w:pPr>
        <w:spacing w:after="0" w:before="120"/>
        <w:jc w:val="center"/>
      </w:pPr>
      <w:r>
        <w:drawing>
          <wp:inline distT="0" distB="0" distL="0" distR="0">
            <wp:extent cx="6115050" cy="4972050"/>
            <wp:effectExtent t="0" r="0" b="0" l="0"/>
            <wp:docPr id="1" name="img2/22_tabellen.png" descr="Abbildung 10: Tabellen „Reserven je Anfalljahr“ und „Endschadenstände (Ultimates)“" title="Abbildung 10: Tabellen „Reserven je Anfalljahr“ und „Endschadenstände (Ul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15050" cy="4972050"/>
                    </a:xfrm>
                    <a:prstGeom prst="rect">
                      <a:avLst/>
                    </a:prstGeom>
                  </pic:spPr>
                </pic:pic>
              </a:graphicData>
            </a:graphic>
          </wp:inline>
        </w:drawing>
      </w:r>
    </w:p>
    <w:p>
      <w:pPr>
        <w:spacing w:after="200" w:before="60"/>
        <w:jc w:val="center"/>
      </w:pPr>
      <w:r>
        <w:rPr>
          <w:i/>
          <w:iCs/>
          <w:color w:val="898781"/>
          <w:sz w:val="18"/>
          <w:szCs w:val="18"/>
        </w:rPr>
        <w:t xml:space="preserve">Abbildung 10: Tabellen „Reserven je Anfalljahr“ und „Endschadenstände (Ultimates)“</w:t>
      </w:r>
    </w:p>
    <w:p>
      <w:pPr>
        <w:spacing w:after="120" w:line="276"/>
      </w:pPr>
      <w:r>
        <w:t xml:space="preserve">Die Tabelle </w:t>
      </w:r>
      <w:r>
        <w:rPr>
          <w:b/>
          <w:bCs/>
        </w:rPr>
        <w:t xml:space="preserve">Reserven</w:t>
      </w:r>
      <w:r>
        <w:t xml:space="preserve"> enthält zusätzlich die Diagonale, den Entwicklungsgrad sowie die Standardfehler nach Mack und Bootstrap je Anfallperiode. Die Zeile </w:t>
      </w:r>
      <w:r>
        <w:rPr>
          <w:b/>
          <w:bCs/>
        </w:rPr>
        <w:t xml:space="preserve">Summe</w:t>
      </w:r>
      <w:r>
        <w:t xml:space="preserve"> entspricht den Werten auf der Übersicht; beim Standardfehler ist sie </w:t>
      </w:r>
      <w:r>
        <w:rPr>
          <w:b/>
          <w:bCs/>
        </w:rPr>
        <w:t xml:space="preserve">nicht</w:t>
      </w:r>
      <w:r>
        <w:t xml:space="preserve"> die Summe der Einzelwerte, sondern der Standardfehler der Gesamtreserve (Diversifikation und Parameterkorrelation sind berücksichtigt). Die Tabelle </w:t>
      </w:r>
      <w:r>
        <w:rPr>
          <w:b/>
          <w:bCs/>
        </w:rPr>
        <w:t xml:space="preserve">Endschadenstände</w:t>
      </w:r>
      <w:r>
        <w:t xml:space="preserve"> zeigt dieselben Ergebnisse als Endschaden.</w:t>
      </w:r>
    </w:p>
    <w:p>
      <w:pPr>
        <w:pStyle w:val="Heading2"/>
      </w:pPr>
      <w:r>
        <w:t xml:space="preserve">6.3  Chain Ladder &amp; Mack</w:t>
      </w:r>
    </w:p>
    <w:p>
      <w:pPr>
        <w:spacing w:after="0" w:before="120"/>
        <w:jc w:val="center"/>
      </w:pPr>
      <w:r>
        <w:drawing>
          <wp:inline distT="0" distB="0" distL="0" distR="0">
            <wp:extent cx="6115050" cy="7486650"/>
            <wp:effectExtent t="0" r="0" b="0" l="0"/>
            <wp:docPr id="1" name="img2/30_cl_mack.png" descr="Abbildung 11: Seite „Chain Ladder &amp; Mack“" title="Abbildung 11: Seite „Chain Ladder &amp; M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15050" cy="7486650"/>
                    </a:xfrm>
                    <a:prstGeom prst="rect">
                      <a:avLst/>
                    </a:prstGeom>
                  </pic:spPr>
                </pic:pic>
              </a:graphicData>
            </a:graphic>
          </wp:inline>
        </w:drawing>
      </w:r>
    </w:p>
    <w:p>
      <w:pPr>
        <w:spacing w:after="200" w:before="60"/>
        <w:jc w:val="center"/>
      </w:pPr>
      <w:r>
        <w:rPr>
          <w:i/>
          <w:iCs/>
          <w:color w:val="898781"/>
          <w:sz w:val="18"/>
          <w:szCs w:val="18"/>
        </w:rPr>
        <w:t xml:space="preserve">Abbildung 11: Seite „Chain Ladder &amp; Mack“</w:t>
      </w:r>
    </w:p>
    <w:p>
      <w:pPr>
        <w:pStyle w:val="Heading3"/>
      </w:pPr>
      <w:r>
        <w:t xml:space="preserve">Abwicklungsfaktoren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tblHeader/>
        </w:trPr>
        <w:tc>
          <w:tcPr>
            <w:tcW w:type="dxa" w:w="18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Spalte</w:t>
            </w:r>
          </w:p>
        </w:tc>
        <w:tc>
          <w:tcPr>
            <w:tcW w:type="dxa" w:w="78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Faktor f_j</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Volumengewichteter Faktor von Abwicklungsperiode j nach j+1: Summe der Werte in Spalte j+1 geteilt durch die Summe der zugehörigen Werte in Spalte j.</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CDF</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Kumulierter Faktor bis zum Endschaden (Produkt aller folgenden Faktoren inklusive Tail). Endschaden = Diagonale × CDF.</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Mack sigma²</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Varianzparameter nach Mack: wie stark die Einzelfaktoren um den Durchschnittsfaktor streuen. Für die letzte Abwicklungsperiode wird er nach Mack (1993) extrapoliert.</w:t>
            </w:r>
          </w:p>
        </w:tc>
      </w:tr>
    </w:tbl>
    <w:p>
      <w:pPr>
        <w:spacing w:after="120"/>
      </w:pPr>
    </w:p>
    <w:p>
      <w:pPr>
        <w:pStyle w:val="Heading3"/>
      </w:pPr>
      <w:r>
        <w:t xml:space="preserve">Individuelle Abwicklungsfaktoren</w:t>
      </w:r>
    </w:p>
    <w:p>
      <w:pPr>
        <w:spacing w:after="120" w:line="276"/>
      </w:pPr>
      <w:r>
        <w:t xml:space="preserve">Die Einzelfaktoren je Anfallperiode sind die wichtigste Grundlage zur </w:t>
      </w:r>
      <w:r>
        <w:rPr>
          <w:b/>
          <w:bCs/>
        </w:rPr>
        <w:t xml:space="preserve">Plausibilisierung</w:t>
      </w:r>
      <w:r>
        <w:t xml:space="preserve">. Am Ende stehen der gewichtete Chain-Ladder-Faktor und zum Vergleich der einfache Mittelwert. Auffällig sind:</w:t>
      </w:r>
    </w:p>
    <w:p>
      <w:pPr>
        <w:pStyle w:val="ListParagraph"/>
        <w:numPr>
          <w:ilvl w:val="0"/>
          <w:numId w:val="2"/>
        </w:numPr>
        <w:spacing w:after="60" w:line="264"/>
      </w:pPr>
      <w:r>
        <w:t xml:space="preserve">sehr große Einzelfaktoren (im Demo-Dreieck 40,4 bei 1982 von Jahr 1 nach 2, weil der Startwert nur 106 beträgt),</w:t>
      </w:r>
    </w:p>
    <w:p>
      <w:pPr>
        <w:pStyle w:val="ListParagraph"/>
        <w:numPr>
          <w:ilvl w:val="0"/>
          <w:numId w:val="2"/>
        </w:numPr>
        <w:spacing w:after="60" w:line="264"/>
      </w:pPr>
      <w:r>
        <w:t xml:space="preserve">Faktoren unter 1 (Rückgang des kumulierten Werts, z. B. durch Regresse oder Reserveauflösung),</w:t>
      </w:r>
    </w:p>
    <w:p>
      <w:pPr>
        <w:pStyle w:val="ListParagraph"/>
        <w:numPr>
          <w:ilvl w:val="0"/>
          <w:numId w:val="2"/>
        </w:numPr>
        <w:spacing w:after="60" w:line="264"/>
      </w:pPr>
      <w:r>
        <w:t xml:space="preserve">große Unterschiede zwischen gewichtetem Faktor und einfachem Mittelwert (Hinweis auf einzelne Ausreißer),</w:t>
      </w:r>
    </w:p>
    <w:p>
      <w:pPr>
        <w:pStyle w:val="ListParagraph"/>
        <w:numPr>
          <w:ilvl w:val="0"/>
          <w:numId w:val="2"/>
        </w:numPr>
        <w:spacing w:after="60" w:line="264"/>
      </w:pPr>
      <w:r>
        <w:t xml:space="preserve">Trends entlang der Diagonalen (Hinweis auf geänderte Schadenbearbeitung oder Inflation),</w:t>
      </w:r>
    </w:p>
    <w:p>
      <w:pPr>
        <w:pStyle w:val="ListParagraph"/>
        <w:numPr>
          <w:ilvl w:val="0"/>
          <w:numId w:val="2"/>
        </w:numPr>
        <w:spacing w:after="60" w:line="264"/>
      </w:pPr>
      <w:r>
        <w:t xml:space="preserve">bei Quartalsdaten: wiederkehrende Muster je Anfallquartal (Saisonalität).</w:t>
      </w:r>
    </w:p>
    <w:p>
      <w:pPr>
        <w:pStyle w:val="Heading3"/>
      </w:pPr>
      <w:r>
        <w:t xml:space="preserve">Projiziertes Dreieck</w:t>
      </w:r>
    </w:p>
    <w:p>
      <w:pPr>
        <w:spacing w:after="120" w:line="276"/>
      </w:pPr>
      <w:r>
        <w:t xml:space="preserve">Das vollständige Dreieck nach Chain Ladder. </w:t>
      </w:r>
      <w:r>
        <w:rPr>
          <w:b/>
          <w:bCs/>
        </w:rPr>
        <w:t xml:space="preserve">Blau hinterlegte</w:t>
      </w:r>
      <w:r>
        <w:t xml:space="preserve"> Zellen sind Prognosen, die übrigen beobachtete Werte. Die letzte Spalte enthält den Endschaden ohne Tail-Faktor.</w:t>
      </w:r>
    </w:p>
    <w:p>
      <w:pPr>
        <w:pStyle w:val="Heading2"/>
      </w:pPr>
      <w:r>
        <w:t xml:space="preserve">6.4  Bootstrap</w:t>
      </w:r>
    </w:p>
    <w:p>
      <w:pPr>
        <w:spacing w:after="0" w:before="120"/>
        <w:jc w:val="center"/>
      </w:pPr>
      <w:r>
        <w:drawing>
          <wp:inline distT="0" distB="0" distL="0" distR="0">
            <wp:extent cx="6115050" cy="4991100"/>
            <wp:effectExtent t="0" r="0" b="0" l="0"/>
            <wp:docPr id="1" name="img2/40_bootstrap.png" descr="Abbildung 12: Seite „Bootstrap“" title="Abbildung 12: Seite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15050" cy="4991100"/>
                    </a:xfrm>
                    <a:prstGeom prst="rect">
                      <a:avLst/>
                    </a:prstGeom>
                  </pic:spPr>
                </pic:pic>
              </a:graphicData>
            </a:graphic>
          </wp:inline>
        </w:drawing>
      </w:r>
    </w:p>
    <w:p>
      <w:pPr>
        <w:spacing w:after="200" w:before="60"/>
        <w:jc w:val="center"/>
      </w:pPr>
      <w:r>
        <w:rPr>
          <w:i/>
          <w:iCs/>
          <w:color w:val="898781"/>
          <w:sz w:val="18"/>
          <w:szCs w:val="18"/>
        </w:rPr>
        <w:t xml:space="preserve">Abbildung 12: Seite „Bootstrap“</w:t>
      </w:r>
    </w:p>
    <w:p>
      <w:pPr>
        <w:spacing w:after="120" w:line="276"/>
      </w:pPr>
      <w:r>
        <w:t xml:space="preserve">Der ODP-Bootstrap erzeugt aus den Abweichungen zwischen beobachteten und angepassten Werten viele plausible Varianten des Dreiecks, rechnet für jede Variante Chain Ladder und ergänzt eine zufällige Prozessschwankung. Ergebnis ist eine </w:t>
      </w:r>
      <w:r>
        <w:rPr>
          <w:b/>
          <w:bCs/>
        </w:rPr>
        <w:t xml:space="preserve">Verteilung</w:t>
      </w:r>
      <w:r>
        <w:t xml:space="preserve"> der möglichen Reserven.</w:t>
      </w:r>
    </w:p>
    <w:p>
      <w:pPr>
        <w:pStyle w:val="ListParagraph"/>
        <w:numPr>
          <w:ilvl w:val="0"/>
          <w:numId w:val="2"/>
        </w:numPr>
        <w:spacing w:after="60" w:line="264"/>
      </w:pPr>
      <w:r>
        <w:rPr>
          <w:b/>
          <w:bCs/>
        </w:rPr>
        <w:t xml:space="preserve">Histogramm:</w:t>
      </w:r>
      <w:r>
        <w:t xml:space="preserve"> Häufigkeit der simulierten Gesamtreserven. Gestrichelt: Mittelwert und 99,5 %-Quantil; mit Benchmark zusätzlich gepunktet die manuelle Reserve. Eine lange rechte Flanke zeigt das Risiko hoher Nachreservierungen.</w:t>
      </w:r>
    </w:p>
    <w:p>
      <w:pPr>
        <w:pStyle w:val="ListParagraph"/>
        <w:numPr>
          <w:ilvl w:val="0"/>
          <w:numId w:val="2"/>
        </w:numPr>
        <w:spacing w:after="60" w:line="264"/>
      </w:pPr>
      <w:r>
        <w:rPr>
          <w:b/>
          <w:bCs/>
        </w:rPr>
        <w:t xml:space="preserve">Kennzahlen:</w:t>
      </w:r>
      <w:r>
        <w:t xml:space="preserve"> Mittelwert, Median, Quantile, Standardfehler und der Skalenparameter φ (Maß für die Streuung der Daten um das Modell).</w:t>
      </w:r>
    </w:p>
    <w:p>
      <w:pPr>
        <w:pStyle w:val="ListParagraph"/>
        <w:numPr>
          <w:ilvl w:val="0"/>
          <w:numId w:val="2"/>
        </w:numPr>
        <w:spacing w:after="60" w:line="264"/>
      </w:pPr>
      <w:r>
        <w:rPr>
          <w:b/>
          <w:bCs/>
        </w:rPr>
        <w:t xml:space="preserve">Quantile je Anfallperiode:</w:t>
      </w:r>
      <w:r>
        <w:t xml:space="preserve"> dieselben Kennzahlen für jede Anfallperiode.</w:t>
      </w:r>
    </w:p>
    <w:p>
      <w:pPr>
        <w:pBdr>
          <w:left w:val="single" w:color="2A78D6" w:sz="18" w:space="8"/>
        </w:pBdr>
        <w:shd w:fill="F3F7FD" w:val="clear"/>
        <w:spacing w:after="160" w:before="120" w:line="264"/>
        <w:ind w:left="200" w:right="200"/>
      </w:pPr>
      <w:r>
        <w:t xml:space="preserve">Der Bootstrap ist zufallsbasiert. Mit gleichem Zufallsstartwert und gleicher Anzahl Simulationen sind die Ergebnisse reproduzierbar; mit einem anderen Startwert ändern sie sich leicht.</w:t>
      </w:r>
    </w:p>
    <w:p>
      <w:pPr>
        <w:pStyle w:val="Heading2"/>
      </w:pPr>
      <w:r>
        <w:t xml:space="preserve">6.5  Daten und Methodik</w:t>
      </w:r>
    </w:p>
    <w:p>
      <w:pPr>
        <w:spacing w:after="120" w:line="276"/>
      </w:pPr>
      <w:r>
        <w:t xml:space="preserve">Die Seite </w:t>
      </w:r>
      <w:r>
        <w:rPr>
          <w:b/>
          <w:bCs/>
        </w:rPr>
        <w:t xml:space="preserve">Daten</w:t>
      </w:r>
      <w:r>
        <w:t xml:space="preserve"> zeigt das eingelesene, kumulierte Dreieck zur Kontrolle und enthält die Eingabe der Prämien und der manuellen Reserve (siehe Abschnitt 3.4). Die Seite </w:t>
      </w:r>
      <w:r>
        <w:rPr>
          <w:b/>
          <w:bCs/>
        </w:rPr>
        <w:t xml:space="preserve">Methodik</w:t>
      </w:r>
      <w:r>
        <w:t xml:space="preserve"> fasst die Verfahren in einer Tabelle zusammen und listet Hinweise zur Interpretation, auch zu Quartalsdaten und zum Benchmark.</w:t>
      </w:r>
    </w:p>
    <w:p>
      <w:pPr>
        <w:pStyle w:val="Heading1"/>
        <w:pageBreakBefore/>
      </w:pPr>
      <w:r>
        <w:t xml:space="preserve">7  Eigene Reserve als Benchmark</w:t>
      </w:r>
    </w:p>
    <w:p>
      <w:pPr>
        <w:spacing w:after="120" w:line="276"/>
      </w:pPr>
      <w:r>
        <w:t xml:space="preserve">Viele Unternehmen legen die bilanzielle Reserve nicht allein mit einem Verfahren fest, sondern </w:t>
      </w:r>
      <w:r>
        <w:rPr>
          <w:b/>
          <w:bCs/>
        </w:rPr>
        <w:t xml:space="preserve">manuell</w:t>
      </w:r>
      <w:r>
        <w:t xml:space="preserve"> – etwa als Kombination mehrerer Methoden, mit Zu- und Abschlägen oder auf Basis von Einzelfallreserven. Das Tool ordnet diese eigene Reserve gegen alle Verfahren ein und beantwortet drei Fragen:</w:t>
      </w:r>
    </w:p>
    <w:p>
      <w:pPr>
        <w:pStyle w:val="ListParagraph"/>
        <w:numPr>
          <w:ilvl w:val="0"/>
          <w:numId w:val="4"/>
        </w:numPr>
        <w:spacing w:after="60" w:line="264"/>
      </w:pPr>
      <w:r>
        <w:rPr>
          <w:b/>
          <w:bCs/>
        </w:rPr>
        <w:t xml:space="preserve">Wie weit</w:t>
      </w:r>
      <w:r>
        <w:t xml:space="preserve"> liegt die eigene Reserve von den Verfahren entfernt – insgesamt und je Anfallperiode?</w:t>
      </w:r>
    </w:p>
    <w:p>
      <w:pPr>
        <w:pStyle w:val="ListParagraph"/>
        <w:numPr>
          <w:ilvl w:val="0"/>
          <w:numId w:val="4"/>
        </w:numPr>
        <w:spacing w:after="60" w:line="264"/>
      </w:pPr>
      <w:r>
        <w:rPr>
          <w:b/>
          <w:bCs/>
        </w:rPr>
        <w:t xml:space="preserve">Wie vorsichtig</w:t>
      </w:r>
      <w:r>
        <w:t xml:space="preserve"> ist sie – welchen Anteil der möglichen Ergebnisse deckt sie nach Mack und Bootstrap ab?</w:t>
      </w:r>
    </w:p>
    <w:p>
      <w:pPr>
        <w:pStyle w:val="ListParagraph"/>
        <w:numPr>
          <w:ilvl w:val="0"/>
          <w:numId w:val="4"/>
        </w:numPr>
        <w:spacing w:after="60" w:line="264"/>
      </w:pPr>
      <w:r>
        <w:rPr>
          <w:b/>
          <w:bCs/>
        </w:rPr>
        <w:t xml:space="preserve">Wo</w:t>
      </w:r>
      <w:r>
        <w:t xml:space="preserve"> entsteht der Unterschied – in welchen Anfallperioden weicht sie am stärksten ab?</w:t>
      </w:r>
    </w:p>
    <w:p>
      <w:pPr>
        <w:pStyle w:val="Heading2"/>
      </w:pPr>
      <w:r>
        <w:t xml:space="preserve">7.1  Eingabe</w:t>
      </w:r>
    </w:p>
    <w:p>
      <w:pPr>
        <w:spacing w:after="120" w:line="276"/>
      </w:pPr>
      <w:r>
        <w:t xml:space="preserve">Auf der Seite </w:t>
      </w:r>
      <w:r>
        <w:rPr>
          <w:b/>
          <w:bCs/>
        </w:rPr>
        <w:t xml:space="preserve">Daten</w:t>
      </w:r>
      <w:r>
        <w:t xml:space="preserve"> im Feld </w:t>
      </w:r>
      <w:r>
        <w:rPr>
          <w:b/>
          <w:bCs/>
        </w:rPr>
        <w:t xml:space="preserve">„Manuelle Reserve“</w:t>
      </w:r>
      <w:r>
        <w:t xml:space="preserve"> je Anfallperiode einen Wert eintragen, in derselben Reihenfolge wie im Dreieck. Eine Spalte aus Excel lässt sich direkt einfügen; deutsches Zahlenformat mit Tausenderpunkt wird erkannt.</w:t>
      </w:r>
    </w:p>
    <w:p>
      <w:pPr>
        <w:spacing w:after="0" w:before="120"/>
        <w:jc w:val="center"/>
      </w:pPr>
      <w:r>
        <w:drawing>
          <wp:inline distT="0" distB="0" distL="0" distR="0">
            <wp:extent cx="6115050" cy="2743200"/>
            <wp:effectExtent t="0" r="0" b="0" l="0"/>
            <wp:docPr id="1" name="img2/60_bench_daten.png" descr="Abbildung 13: Eingabe der manuellen Reserve auf der Seite „Daten“" title="Abbildung 13: Eingabe der manuellen Reserve auf der Seite „Da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15050" cy="2743200"/>
                    </a:xfrm>
                    <a:prstGeom prst="rect">
                      <a:avLst/>
                    </a:prstGeom>
                  </pic:spPr>
                </pic:pic>
              </a:graphicData>
            </a:graphic>
          </wp:inline>
        </w:drawing>
      </w:r>
    </w:p>
    <w:p>
      <w:pPr>
        <w:spacing w:after="200" w:before="60"/>
        <w:jc w:val="center"/>
      </w:pPr>
      <w:r>
        <w:rPr>
          <w:i/>
          <w:iCs/>
          <w:color w:val="898781"/>
          <w:sz w:val="18"/>
          <w:szCs w:val="18"/>
        </w:rPr>
        <w:t xml:space="preserve">Abbildung 13: Eingabe der manuellen Reserve auf der Seite „Daten“</w:t>
      </w:r>
    </w:p>
    <w:p>
      <w:pPr>
        <w:pStyle w:val="ListParagraph"/>
        <w:numPr>
          <w:ilvl w:val="0"/>
          <w:numId w:val="2"/>
        </w:numPr>
        <w:spacing w:after="60" w:line="264"/>
      </w:pPr>
      <w:r>
        <w:rPr>
          <w:b/>
          <w:bCs/>
        </w:rPr>
        <w:t xml:space="preserve">Anzahl:</w:t>
      </w:r>
      <w:r>
        <w:t xml:space="preserve"> genau ein Wert je Anfallperiode. Stimmt die Anzahl nicht, erscheint ein Hinweis, und der Benchmark wird bis zur Korrektur ignoriert.</w:t>
      </w:r>
    </w:p>
    <w:p>
      <w:pPr>
        <w:pStyle w:val="ListParagraph"/>
        <w:numPr>
          <w:ilvl w:val="0"/>
          <w:numId w:val="2"/>
        </w:numPr>
        <w:spacing w:after="60" w:line="264"/>
      </w:pPr>
      <w:r>
        <w:rPr>
          <w:b/>
          <w:bCs/>
        </w:rPr>
        <w:t xml:space="preserve">Null ist erlaubt,</w:t>
      </w:r>
      <w:r>
        <w:t xml:space="preserve"> etwa für abgewickelte Perioden. Negative Werte werden übernommen, sind aber fachlich zu prüfen.</w:t>
      </w:r>
    </w:p>
    <w:p>
      <w:pPr>
        <w:pStyle w:val="ListParagraph"/>
        <w:numPr>
          <w:ilvl w:val="0"/>
          <w:numId w:val="2"/>
        </w:numPr>
        <w:spacing w:after="60" w:line="264"/>
      </w:pPr>
      <w:r>
        <w:rPr>
          <w:b/>
          <w:bCs/>
        </w:rPr>
        <w:t xml:space="preserve">Leeres Feld:</w:t>
      </w:r>
      <w:r>
        <w:t xml:space="preserve"> Die App rechnet ohne Benchmark; alle Zusatzausgaben entfallen.</w:t>
      </w:r>
    </w:p>
    <w:p>
      <w:pPr>
        <w:pStyle w:val="ListParagraph"/>
        <w:numPr>
          <w:ilvl w:val="0"/>
          <w:numId w:val="2"/>
        </w:numPr>
        <w:spacing w:after="60" w:line="264"/>
      </w:pPr>
      <w:r>
        <w:rPr>
          <w:b/>
          <w:bCs/>
        </w:rPr>
        <w:t xml:space="preserve">Gleiche Basis:</w:t>
      </w:r>
      <w:r>
        <w:t xml:space="preserve"> Die manuelle Reserve muss zum Dreieck passen – bei einem Dreieck bezahlter Schäden die gesamte Schadenrückstellung (Einzelreserven plus IBNR), bei gemeldeten Schäden nur die IBNR/IBNER-Reserve. Ebenso müssen Bestand, Währung und Brutto/Netto übereinstimmen.</w:t>
      </w:r>
    </w:p>
    <w:p>
      <w:pPr>
        <w:pStyle w:val="ListParagraph"/>
        <w:numPr>
          <w:ilvl w:val="0"/>
          <w:numId w:val="2"/>
        </w:numPr>
        <w:spacing w:after="60" w:line="264"/>
      </w:pPr>
      <w:r>
        <w:rPr>
          <w:b/>
          <w:bCs/>
        </w:rPr>
        <w:t xml:space="preserve">Periodizität:</w:t>
      </w:r>
      <w:r>
        <w:t xml:space="preserve"> bei Quartalsdaten ein Wert je Quartal, nach der Verdichtung ein Wert je Jahr.</w:t>
      </w:r>
    </w:p>
    <w:p>
      <w:pPr>
        <w:pBdr>
          <w:left w:val="single" w:color="2A78D6" w:sz="18" w:space="8"/>
        </w:pBdr>
        <w:shd w:fill="F3F7FD" w:val="clear"/>
        <w:spacing w:after="160" w:before="120" w:line="264"/>
        <w:ind w:left="200" w:right="200"/>
      </w:pPr>
      <w:r>
        <w:t xml:space="preserve">Für das Demo-Dreieck liegt die Vorlage </w:t>
      </w:r>
      <w:r>
        <w:rPr>
          <w:b/>
          <w:bCs/>
        </w:rPr>
        <w:t xml:space="preserve">manuelle_reserve_vorlage.csv</w:t>
      </w:r>
      <w:r>
        <w:t xml:space="preserve"> bei (Spalten Anfalljahr und Manuelle Reserve). Die Werte sind fiktiv und dienen nur der Veranschaulichung.</w:t>
      </w:r>
    </w:p>
    <w:p>
      <w:pPr>
        <w:pStyle w:val="Heading2"/>
      </w:pPr>
      <w:r>
        <w:t xml:space="preserve">7.2  Was sich in der App ändert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Ort</w:t>
            </w:r>
          </w:p>
        </w:tc>
        <w:tc>
          <w:tcPr>
            <w:tcW w:type="dxa" w:w="70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Ergänzung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Übersicht – Kacheln</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Zusätzliche Kachel „Manuelle Reserve“ mit Abweichung zu Chain Ladder und Sicherheitsniveau (Bootstrap).</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Übersicht – Diagramm</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Balken „Manuelle Reserve“ (dunkelgrau) und eine gepunktete senkrechte Linie auf Höhe der manuellen Reserve.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Übersicht – Vergleich</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Zeile „Manuelle Reserve“ und Spalte „Abw. zu Benchmark“ für jedes Verfahren.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Übersicht – Karte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Karte „Einordnung der manuellen Reserve“ mit Kurzaussagen und einer Tabelle je Anfallperiode (Abschnitt 7.3).</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Je Anfallperiode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Manuelle Reserve als eigener Balken und als gepunktete Linie für die gewählte Periode; Zeile in allen Tabellen; Linie im Verlauf über alle Perioden.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Bootstrap</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Gepunktete Linie der manuellen Reserve im Histogramm.</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Excel-Export</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Zusätzliches Blatt „Benchmark“ mit der Tabelle aus der Karte.</w:t>
            </w:r>
          </w:p>
        </w:tc>
      </w:tr>
    </w:tbl>
    <w:p>
      <w:pPr>
        <w:spacing w:after="120"/>
      </w:pPr>
    </w:p>
    <w:p>
      <w:pPr>
        <w:spacing w:after="0" w:before="120"/>
        <w:jc w:val="center"/>
      </w:pPr>
      <w:r>
        <w:drawing>
          <wp:inline distT="0" distB="0" distL="0" distR="0">
            <wp:extent cx="6115050" cy="4238625"/>
            <wp:effectExtent t="0" r="0" b="0" l="0"/>
            <wp:docPr id="1" name="img2/61_bench_uebersicht.png" descr="Abbildung 14: Übersicht mit manueller Reserve: Kachel, Balken, gepunktete Linie und Spalte „Abw. zu Benchmark“" title="Abbildung 14: Übersicht mit manueller Reserve: Kachel, Balken, gepunktete Linie und Spalte „Abw. zu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15050" cy="4238625"/>
                    </a:xfrm>
                    <a:prstGeom prst="rect">
                      <a:avLst/>
                    </a:prstGeom>
                  </pic:spPr>
                </pic:pic>
              </a:graphicData>
            </a:graphic>
          </wp:inline>
        </w:drawing>
      </w:r>
    </w:p>
    <w:p>
      <w:pPr>
        <w:spacing w:after="200" w:before="60"/>
        <w:jc w:val="center"/>
      </w:pPr>
      <w:r>
        <w:rPr>
          <w:i/>
          <w:iCs/>
          <w:color w:val="898781"/>
          <w:sz w:val="18"/>
          <w:szCs w:val="18"/>
        </w:rPr>
        <w:t xml:space="preserve">Abbildung 14: Übersicht mit manueller Reserve: Kachel, Balken, gepunktete Linie und Spalte „Abw. zu Benchmark“</w:t>
      </w:r>
    </w:p>
    <w:p>
      <w:pPr>
        <w:spacing w:after="120" w:line="276"/>
      </w:pPr>
      <w:r>
        <w:t xml:space="preserve">Die Spalte </w:t>
      </w:r>
      <w:r>
        <w:rPr>
          <w:b/>
          <w:bCs/>
        </w:rPr>
        <w:t xml:space="preserve">Abw. zu Benchmark</w:t>
      </w:r>
      <w:r>
        <w:t xml:space="preserve"> ist aus Sicht des Verfahrens formuliert: −16,7 % bei Chain Ladder bedeutet, dass Chain Ladder 16,7 % </w:t>
      </w:r>
      <w:r>
        <w:rPr>
          <w:b/>
          <w:bCs/>
        </w:rPr>
        <w:t xml:space="preserve">unter</w:t>
      </w:r>
      <w:r>
        <w:t xml:space="preserve"> der manuellen Reserve liegt (52.135 / 62.600 − 1). Die Spalte </w:t>
      </w:r>
      <w:r>
        <w:rPr>
          <w:b/>
          <w:bCs/>
        </w:rPr>
        <w:t xml:space="preserve">Abw. zu CL</w:t>
      </w:r>
      <w:r>
        <w:t xml:space="preserve"> in der Zeile „Manuelle Reserve“ zeigt umgekehrt, wie weit die eigene Reserve über Chain Ladder liegt (+20,1 %).</w:t>
      </w:r>
    </w:p>
    <w:p>
      <w:pPr>
        <w:pStyle w:val="Heading2"/>
      </w:pPr>
      <w:r>
        <w:t xml:space="preserve">7.3  Die Karte „Einordnung der manuellen Reserve“</w:t>
      </w:r>
    </w:p>
    <w:p>
      <w:pPr>
        <w:spacing w:after="0" w:before="120"/>
        <w:jc w:val="center"/>
      </w:pPr>
      <w:r>
        <w:drawing>
          <wp:inline distT="0" distB="0" distL="0" distR="0">
            <wp:extent cx="6115050" cy="3686175"/>
            <wp:effectExtent t="0" r="0" b="0" l="0"/>
            <wp:docPr id="1" name="img2/62_bench_karte.png" descr="Abbildung 15: Karte „Einordnung der manuellen Reserve“ auf der Übersicht" title="Abbildung 15: Karte „Einordnung der manuellen Reserve“ auf der 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15050" cy="3686175"/>
                    </a:xfrm>
                    <a:prstGeom prst="rect">
                      <a:avLst/>
                    </a:prstGeom>
                  </pic:spPr>
                </pic:pic>
              </a:graphicData>
            </a:graphic>
          </wp:inline>
        </w:drawing>
      </w:r>
    </w:p>
    <w:p>
      <w:pPr>
        <w:spacing w:after="200" w:before="60"/>
        <w:jc w:val="center"/>
      </w:pPr>
      <w:r>
        <w:rPr>
          <w:i/>
          <w:iCs/>
          <w:color w:val="898781"/>
          <w:sz w:val="18"/>
          <w:szCs w:val="18"/>
        </w:rPr>
        <w:t xml:space="preserve">Abbildung 15: Karte „Einordnung der manuellen Reserve“ auf der Übersicht</w:t>
      </w:r>
    </w:p>
    <w:p>
      <w:pPr>
        <w:spacing w:after="120" w:line="276"/>
      </w:pPr>
      <w:r>
        <w:t xml:space="preserve">Die Karte fasst das Ergebnis in vier automatisch erzeugten Aussagen zusammen: Abweichung zu Chain Ladder, Sicherheitsniveau nach Bootstrap und Mack, Rang unter den Verfahren und die beiden Anfallperioden mit der größten Abweichung. Die Tabelle darunter enthält je Anfallperiode: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Spalte</w:t>
            </w:r>
          </w:p>
        </w:tc>
        <w:tc>
          <w:tcPr>
            <w:tcW w:type="dxa" w:w="74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Manuelle Reserve</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Eingegebener Wert.</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Chain Ladder</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Reserve nach Chain Ladder.</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Differenz zu CL</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Manuelle Reserve − Chain Ladder, absolut.</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 zu CL</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Differenz relativ zur Chain-Ladder-Reserve.</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Niveau Mack</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Wahrscheinlichkeit, dass die tatsächliche Reserve die manuelle Reserve nicht übersteigt – Lognormalverteilung mit Mittelwert und Standardfehler nach Mack.</w:t>
            </w:r>
          </w:p>
        </w:tc>
      </w:tr>
      <w:tr>
        <w:trPr>
          <w:cantSplit/>
        </w:trPr>
        <w:tc>
          <w:tcPr>
            <w:tcW w:type="dxa" w:w="2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Niveau Bootstrap</w:t>
            </w:r>
          </w:p>
        </w:tc>
        <w:tc>
          <w:tcPr>
            <w:tcW w:type="dxa" w:w="74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Anteil der Bootstrap-Simulationen, in denen die Reserve höchstens so hoch ist wie die manuelle Reserve.</w:t>
            </w:r>
          </w:p>
        </w:tc>
      </w:tr>
    </w:tbl>
    <w:p>
      <w:pPr>
        <w:spacing w:after="120"/>
      </w:pPr>
    </w:p>
    <w:p>
      <w:pPr>
        <w:spacing w:after="120" w:line="276"/>
      </w:pPr>
      <w:r>
        <w:t xml:space="preserve">Für Perioden ohne Chain-Ladder-Reserve (hier 1981, vollständig abgewickelt) bleiben Abweichung und Niveaus leer. Die Zeile </w:t>
      </w:r>
      <w:r>
        <w:rPr>
          <w:b/>
          <w:bCs/>
        </w:rPr>
        <w:t xml:space="preserve">Summe</w:t>
      </w:r>
      <w:r>
        <w:t xml:space="preserve"> bezieht sich auf die Gesamtreserve; ihr Niveau berücksichtigt die Diversifikation zwischen den Perioden und ist daher nicht der Durchschnitt der Einzelniveaus.</w:t>
      </w:r>
    </w:p>
    <w:p>
      <w:pPr>
        <w:pStyle w:val="Heading2"/>
      </w:pPr>
      <w:r>
        <w:t xml:space="preserve">7.4  Das Sicherheitsniveau</w:t>
      </w:r>
    </w:p>
    <w:p>
      <w:pPr>
        <w:spacing w:after="120" w:line="276"/>
      </w:pPr>
      <w:r>
        <w:t xml:space="preserve">Das Sicherheitsniveau ist die zentrale Kennzahl des Benchmarks. Es gibt an, </w:t>
      </w:r>
      <w:r>
        <w:rPr>
          <w:b/>
          <w:bCs/>
        </w:rPr>
        <w:t xml:space="preserve">welcher Anteil der möglichen Ergebnisse durch die manuelle Reserve gedeckt ist</w:t>
      </w:r>
      <w:r>
        <w:t xml:space="preserve">:</w:t>
      </w:r>
    </w:p>
    <w:p>
      <w:pPr>
        <w:shd w:fill="F6F6F3" w:val="clear"/>
        <w:spacing w:after="0" w:before="80" w:line="300"/>
        <w:ind w:left="567"/>
        <w:jc w:val="left"/>
      </w:pPr>
      <w:r>
        <w:rPr>
          <w:rFonts w:ascii="Cambria Math" w:cs="Cambria Math" w:eastAsia="Cambria Math" w:hAnsi="Cambria Math"/>
          <w:sz w:val="22"/>
          <w:szCs w:val="22"/>
        </w:rPr>
        <w:t xml:space="preserve">Niveau Mack = P(R ≤ B)     mit R ~ Lognormal, E[R] = Reserve CL, SE[R] = Mack-Standardfehler</w:t>
      </w:r>
    </w:p>
    <w:p>
      <w:pPr>
        <w:shd w:fill="F6F6F3" w:val="clear"/>
        <w:spacing w:after="0" w:before="0" w:line="300"/>
        <w:ind w:left="567"/>
        <w:jc w:val="left"/>
      </w:pPr>
      <w:r>
        <w:rPr>
          <w:rFonts w:ascii="Cambria Math" w:cs="Cambria Math" w:eastAsia="Cambria Math" w:hAnsi="Cambria Math"/>
          <w:sz w:val="22"/>
          <w:szCs w:val="22"/>
        </w:rPr>
        <w:t xml:space="preserve">Niveau Bootstrap = Anzahl Simulationen mit R ≤ B  /  Anzahl Simulationen</w:t>
      </w:r>
    </w:p>
    <w:p>
      <w:pPr>
        <w:shd w:fill="F6F6F3" w:val="clear"/>
        <w:spacing w:after="140" w:before="0" w:line="300"/>
        <w:ind w:left="567"/>
        <w:jc w:val="left"/>
      </w:pPr>
      <w:r>
        <w:rPr>
          <w:rFonts w:ascii="Cambria Math" w:cs="Cambria Math" w:eastAsia="Cambria Math" w:hAnsi="Cambria Math"/>
          <w:sz w:val="22"/>
          <w:szCs w:val="22"/>
        </w:rPr>
        <w:t xml:space="preserve">B = manuelle 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tblHeader/>
        </w:trPr>
        <w:tc>
          <w:tcPr>
            <w:tcW w:type="dxa" w:w="18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Niveau</w:t>
            </w:r>
          </w:p>
        </w:tc>
        <w:tc>
          <w:tcPr>
            <w:tcW w:type="dxa" w:w="78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Einordnung</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unter 50 %</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Die manuelle Reserve liegt unter dem Median der Verteilung: in mehr als der Hälfte der Szenarien reicht sie nicht. Begründungsbedürftig.</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50–60 %</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Etwa Median bis leicht darüber; entspricht einer Best-Estimate-nahen Reservierung.</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60–80 %</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Moderat vorsichtig; in der Praxis häufig für bilanzielle Reserven.</w:t>
            </w:r>
          </w:p>
        </w:tc>
      </w:tr>
      <w:tr>
        <w:trPr>
          <w:cantSplit/>
        </w:trPr>
        <w:tc>
          <w:tcPr>
            <w:tcW w:type="dxa" w:w="1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über 80 %</w:t>
            </w:r>
          </w:p>
        </w:tc>
        <w:tc>
          <w:tcPr>
            <w:tcW w:type="dxa" w:w="78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Deutlich vorsichtig. Hohe Sicherheit, aber auch hohe gebundene Mittel; auf Abwicklungsgewinne achten.</w:t>
            </w:r>
          </w:p>
        </w:tc>
      </w:tr>
    </w:tbl>
    <w:p>
      <w:pPr>
        <w:spacing w:after="120"/>
      </w:pPr>
    </w:p>
    <w:p>
      <w:pPr>
        <w:pBdr>
          <w:left w:val="single" w:color="C8651B" w:sz="18" w:space="8"/>
        </w:pBdr>
        <w:shd w:fill="FDF4EC" w:val="clear"/>
        <w:spacing w:after="40" w:before="120"/>
        <w:ind w:left="200" w:right="200"/>
      </w:pPr>
      <w:r>
        <w:rPr>
          <w:b/>
          <w:bCs/>
          <w:color w:val="C8651B"/>
        </w:rPr>
        <w:t xml:space="preserve">Zur Interpretation</w:t>
      </w:r>
    </w:p>
    <w:p>
      <w:pPr>
        <w:pBdr>
          <w:left w:val="single" w:color="C8651B" w:sz="18" w:space="8"/>
        </w:pBdr>
        <w:shd w:fill="FDF4EC" w:val="clear"/>
        <w:spacing w:after="60" w:before="0" w:line="264"/>
        <w:ind w:left="200" w:right="200"/>
      </w:pPr>
      <w:r>
        <w:rPr>
          <w:b/>
          <w:bCs/>
        </w:rPr>
        <w:t xml:space="preserve">50 % entspricht dem Median, nicht dem Erwartungswert.</w:t>
      </w:r>
      <w:r>
        <w:t xml:space="preserve"> Reserveverteilungen sind rechtsschief; der Erwartungswert (z. B. die Chain-Ladder-Reserve) liegt daher meist bei einem Niveau über 50 %. Eine manuelle Reserve genau in Höhe von Chain Ladder hat im Demo-Beispiel nach Mack ein Niveau von rund 57 %.</w:t>
      </w:r>
    </w:p>
    <w:p>
      <w:pPr>
        <w:pBdr>
          <w:left w:val="single" w:color="C8651B" w:sz="18" w:space="8"/>
        </w:pBdr>
        <w:shd w:fill="FDF4EC" w:val="clear"/>
        <w:spacing w:after="160" w:before="0" w:line="264"/>
        <w:ind w:left="200" w:right="200"/>
      </w:pPr>
      <w:r>
        <w:t xml:space="preserve">Die Bänder sind Orientierungswerte, keine Normen. Welches Niveau angemessen ist, hängt von Rechnungslegung, Risikoappetit und interner Reservierungsrichtlinie ab.</w:t>
      </w:r>
    </w:p>
    <w:p>
      <w:pPr>
        <w:spacing w:after="120" w:line="276"/>
      </w:pPr>
      <w:r>
        <w:rPr>
          <w:b/>
          <w:bCs/>
        </w:rPr>
        <w:t xml:space="preserve">Mack und Bootstrap unterscheiden sich.</w:t>
      </w:r>
      <w:r>
        <w:t xml:space="preserve"> Mack unterstellt eine Lognormalverteilung, der Bootstrap bildet die Verteilung aus den Daten nach. Weichen die Niveaus deutlich voneinander ab, hängt die Einordnung vom Modell ab; dann sollten beide Werte berichtet werden.</w:t>
      </w:r>
    </w:p>
    <w:p>
      <w:pPr>
        <w:pStyle w:val="Heading2"/>
      </w:pPr>
      <w:r>
        <w:t xml:space="preserve">7.5  Weitere Grafiken mit Benchmark</w:t>
      </w:r>
    </w:p>
    <w:p>
      <w:pPr>
        <w:spacing w:after="0" w:before="120"/>
        <w:jc w:val="center"/>
      </w:pPr>
      <w:r>
        <w:drawing>
          <wp:inline distT="0" distB="0" distL="0" distR="0">
            <wp:extent cx="6115050" cy="2524125"/>
            <wp:effectExtent t="0" r="0" b="0" l="0"/>
            <wp:docPr id="1" name="img2/63_bench_einzeljahr.png" descr="Abbildung 16: Einzelnes Anfalljahr mit manueller Reserve als Balken und gepunkteter Linie" title="Abbildung 16: Einzelnes Anfalljahr mit manueller Reserve als Balken und gepunkteter 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15050" cy="2524125"/>
                    </a:xfrm>
                    <a:prstGeom prst="rect">
                      <a:avLst/>
                    </a:prstGeom>
                  </pic:spPr>
                </pic:pic>
              </a:graphicData>
            </a:graphic>
          </wp:inline>
        </w:drawing>
      </w:r>
    </w:p>
    <w:p>
      <w:pPr>
        <w:spacing w:after="200" w:before="60"/>
        <w:jc w:val="center"/>
      </w:pPr>
      <w:r>
        <w:rPr>
          <w:i/>
          <w:iCs/>
          <w:color w:val="898781"/>
          <w:sz w:val="18"/>
          <w:szCs w:val="18"/>
        </w:rPr>
        <w:t xml:space="preserve">Abbildung 16: Einzelnes Anfalljahr mit manueller Reserve als Balken und gepunkteter Linie</w:t>
      </w:r>
    </w:p>
    <w:p>
      <w:pPr>
        <w:spacing w:after="0" w:before="120"/>
        <w:jc w:val="center"/>
      </w:pPr>
      <w:r>
        <w:drawing>
          <wp:inline distT="0" distB="0" distL="0" distR="0">
            <wp:extent cx="6115050" cy="2171700"/>
            <wp:effectExtent t="0" r="0" b="0" l="0"/>
            <wp:docPr id="1" name="img2/64_bench_hist.png" descr="Abbildung 17: Bootstrap-Histogramm mit gepunkteter Linie der manuellen Reserve" title="Abbildung 17: Bootstrap-Histogramm mit gepunkteter Linie der manuellen Re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15050" cy="2171700"/>
                    </a:xfrm>
                    <a:prstGeom prst="rect">
                      <a:avLst/>
                    </a:prstGeom>
                  </pic:spPr>
                </pic:pic>
              </a:graphicData>
            </a:graphic>
          </wp:inline>
        </w:drawing>
      </w:r>
    </w:p>
    <w:p>
      <w:pPr>
        <w:spacing w:after="200" w:before="60"/>
        <w:jc w:val="center"/>
      </w:pPr>
      <w:r>
        <w:rPr>
          <w:i/>
          <w:iCs/>
          <w:color w:val="898781"/>
          <w:sz w:val="18"/>
          <w:szCs w:val="18"/>
        </w:rPr>
        <w:t xml:space="preserve">Abbildung 17: Bootstrap-Histogramm mit gepunkteter Linie der manuellen Reserve</w:t>
      </w:r>
    </w:p>
    <w:p>
      <w:pPr>
        <w:spacing w:after="120" w:line="276"/>
      </w:pPr>
      <w:r>
        <w:t xml:space="preserve">Im Histogramm lässt sich das Sicherheitsniveau unmittelbar ablesen: Der Anteil der Fläche links der gepunkteten Linie ist das Niveau nach Bootstrap.</w:t>
      </w:r>
    </w:p>
    <w:p>
      <w:pPr>
        <w:pStyle w:val="Heading2"/>
      </w:pPr>
      <w:r>
        <w:t xml:space="preserve">7.6  Beispiel: manuelle Reserve 62.600</w:t>
      </w:r>
    </w:p>
    <w:p>
      <w:pPr>
        <w:spacing w:after="120" w:line="276"/>
      </w:pPr>
      <w:r>
        <w:t xml:space="preserve">Für das Demo-Dreieck wurde eine fiktive manuelle Reserve von insgesamt </w:t>
      </w:r>
      <w:r>
        <w:rPr>
          <w:b/>
          <w:bCs/>
        </w:rPr>
        <w:t xml:space="preserve">62.600</w:t>
      </w:r>
      <w:r>
        <w:t xml:space="preserve"> eingetragen (Vorlage manuelle_reserve_vorlage.csv). Die App ordnet sie so 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250"/>
        <w:gridCol w:w="1350"/>
        <w:gridCol w:w="1200"/>
        <w:gridCol w:w="1350"/>
        <w:gridCol w:w="1550"/>
        <w:gridCol w:w="1638"/>
      </w:tblGrid>
      <w:tr>
        <w:trPr>
          <w:tblHeader/>
        </w:trPr>
        <w:tc>
          <w:tcPr>
            <w:tcW w:type="dxa" w:w="1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Anfalljahr</w:t>
            </w:r>
          </w:p>
        </w:tc>
        <w:tc>
          <w:tcPr>
            <w:tcW w:type="dxa" w:w="125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Manuell</w:t>
            </w:r>
          </w:p>
        </w:tc>
        <w:tc>
          <w:tcPr>
            <w:tcW w:type="dxa" w:w="135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Chain Ladder</w:t>
            </w:r>
          </w:p>
        </w:tc>
        <w:tc>
          <w:tcPr>
            <w:tcW w:type="dxa" w:w="1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Differenz</w:t>
            </w:r>
          </w:p>
        </w:tc>
        <w:tc>
          <w:tcPr>
            <w:tcW w:type="dxa" w:w="135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Abw. zu CL</w:t>
            </w:r>
          </w:p>
        </w:tc>
        <w:tc>
          <w:tcPr>
            <w:tcW w:type="dxa" w:w="155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Niveau Mack</w:t>
            </w:r>
          </w:p>
        </w:tc>
        <w:tc>
          <w:tcPr>
            <w:tcW w:type="dxa" w:w="16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Niveau Bootstrap</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1981</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0</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1982</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154</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46</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+29,9 %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77,8 %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75,5 %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1983</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617</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83</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+13,4 %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71,5 %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64,5 %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1984</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1.800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1.636</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164</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+10,0 %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66,9 %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59,9 %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1985</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2.900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2.747</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153</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+5,6 %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64,0 %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60,1 %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1986</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4.000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3.649</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351</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+9,6 %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66,8 %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61,5 %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1987</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6.500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5.435</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1.065</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+19,6 %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74,3 %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67,9 %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1988</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11.500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10.907</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593</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+5,4 %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63,5 %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58,2 %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1989</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15.000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10.650</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4.350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+40,8 %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81,5 %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77,2 %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1990</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20.000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16.339</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3.661</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+22,4 %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76,7 %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62,9 %</w:t>
            </w:r>
          </w:p>
        </w:tc>
      </w:tr>
      <w:tr>
        <w:trPr>
          <w:cantSplit/>
        </w:trPr>
        <w:tc>
          <w:tcPr>
            <w:tcW w:type="dxa" w:w="1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Summe</w:t>
            </w:r>
          </w:p>
        </w:tc>
        <w:tc>
          <w:tcPr>
            <w:tcW w:type="dxa" w:w="12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62.600</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52.135</w:t>
            </w:r>
          </w:p>
        </w:tc>
        <w:tc>
          <w:tcPr>
            <w:tcW w:type="dxa" w:w="1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10.465</w:t>
            </w:r>
          </w:p>
        </w:tc>
        <w:tc>
          <w:tcPr>
            <w:tcW w:type="dxa" w:w="13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+20,1 %</w:t>
            </w:r>
          </w:p>
        </w:tc>
        <w:tc>
          <w:tcPr>
            <w:tcW w:type="dxa" w:w="155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73,2 %</w:t>
            </w:r>
          </w:p>
        </w:tc>
        <w:tc>
          <w:tcPr>
            <w:tcW w:type="dxa" w:w="1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70,9 %</w:t>
            </w:r>
          </w:p>
        </w:tc>
      </w:tr>
    </w:tbl>
    <w:p>
      <w:pPr>
        <w:spacing w:after="120"/>
      </w:pPr>
    </w:p>
    <w:p>
      <w:pPr>
        <w:pStyle w:val="Heading3"/>
      </w:pPr>
      <w:r>
        <w:t xml:space="preserve">Aussagen</w:t>
      </w:r>
    </w:p>
    <w:p>
      <w:pPr>
        <w:pStyle w:val="ListParagraph"/>
        <w:numPr>
          <w:ilvl w:val="0"/>
          <w:numId w:val="2"/>
        </w:numPr>
        <w:spacing w:after="60" w:line="264"/>
      </w:pPr>
      <w:r>
        <w:rPr>
          <w:b/>
          <w:bCs/>
        </w:rPr>
        <w:t xml:space="preserve">Insgesamt moderat vorsichtig:</w:t>
      </w:r>
      <w:r>
        <w:t xml:space="preserve"> Die manuelle Reserve liegt 20,1 % über Chain Ladder und deckt nach Bootstrap 71 %, nach Mack 73 % der Szenarien ab.</w:t>
      </w:r>
    </w:p>
    <w:p>
      <w:pPr>
        <w:pStyle w:val="ListParagraph"/>
        <w:numPr>
          <w:ilvl w:val="0"/>
          <w:numId w:val="2"/>
        </w:numPr>
        <w:spacing w:after="60" w:line="264"/>
      </w:pPr>
      <w:r>
        <w:rPr>
          <w:b/>
          <w:bCs/>
        </w:rPr>
        <w:t xml:space="preserve">Im Feld der Verfahren:</w:t>
      </w:r>
      <w:r>
        <w:t xml:space="preserve"> 2 von 6 Verfahren (Chain Ladder und Bootstrap) liefern eine niedrigere, 4 eine höhere Gesamtreserve. Die manuelle Reserve liegt damit innerhalb der Spanne 52.135 bis 74.563 und etwas unter deren Median (66.838).</w:t>
      </w:r>
    </w:p>
    <w:p>
      <w:pPr>
        <w:pStyle w:val="ListParagraph"/>
        <w:numPr>
          <w:ilvl w:val="0"/>
          <w:numId w:val="2"/>
        </w:numPr>
        <w:spacing w:after="60" w:line="264"/>
      </w:pPr>
      <w:r>
        <w:rPr>
          <w:b/>
          <w:bCs/>
        </w:rPr>
        <w:t xml:space="preserve">Ursache:</w:t>
      </w:r>
      <w:r>
        <w:t xml:space="preserve"> Mehr als drei Viertel der Differenz zu Chain Ladder entfallen auf die jungen Jahre </w:t>
      </w:r>
      <w:r>
        <w:rPr>
          <w:b/>
          <w:bCs/>
        </w:rPr>
        <w:t xml:space="preserve">1989 (+4.350)</w:t>
      </w:r>
      <w:r>
        <w:t xml:space="preserve"> und </w:t>
      </w:r>
      <w:r>
        <w:rPr>
          <w:b/>
          <w:bCs/>
        </w:rPr>
        <w:t xml:space="preserve">1990 (+3.661)</w:t>
      </w:r>
      <w:r>
        <w:t xml:space="preserve"> – genau die Jahre, in denen Chain Ladder am unsichersten ist (Kapitel 10).</w:t>
      </w:r>
    </w:p>
    <w:p>
      <w:pPr>
        <w:pStyle w:val="ListParagraph"/>
        <w:numPr>
          <w:ilvl w:val="0"/>
          <w:numId w:val="2"/>
        </w:numPr>
        <w:spacing w:after="60" w:line="264"/>
      </w:pPr>
      <w:r>
        <w:rPr>
          <w:b/>
          <w:bCs/>
        </w:rPr>
        <w:t xml:space="preserve">Vergleich mit einer Methodenmischung:</w:t>
      </w:r>
      <w:r>
        <w:t xml:space="preserve"> Chain Ladder für 1981–1988 und BF für 1989/1990 ergibt 65.955 (Abschnitt 10.3). Die manuelle Reserve liegt 3.355 darunter; der Unterschied stammt vor allem aus 1990, wo BF mit 23.618 deutlich über den manuellen 20.000 liegt.</w:t>
      </w:r>
    </w:p>
    <w:p>
      <w:pPr>
        <w:pStyle w:val="ListParagraph"/>
        <w:numPr>
          <w:ilvl w:val="0"/>
          <w:numId w:val="2"/>
        </w:numPr>
        <w:spacing w:after="60" w:line="264"/>
      </w:pPr>
      <w:r>
        <w:rPr>
          <w:b/>
          <w:bCs/>
        </w:rPr>
        <w:t xml:space="preserve">Reife Jahre:</w:t>
      </w:r>
      <w:r>
        <w:t xml:space="preserve"> Für 1984 bis 1988 liegt das Bootstrap-Niveau bei 58–68 %: nah am Median, also kaum Sicherheitszuschlag. Die Vorsicht steckt überwiegend in 1987, 1989 und 1990.</w:t>
      </w:r>
    </w:p>
    <w:p>
      <w:pPr>
        <w:pStyle w:val="Heading1"/>
        <w:pageBreakBefore/>
      </w:pPr>
      <w:r>
        <w:t xml:space="preserve">8  Die Verfahren im Detail</w:t>
      </w:r>
    </w:p>
    <w:p>
      <w:pPr>
        <w:spacing w:after="120" w:line="276"/>
      </w:pPr>
      <w:r>
        <w:t xml:space="preserve">Notation: C(i, j) = kumulierter Schaden der Anfallperiode i nach j Abwicklungsperioden, D(i) = aktuelle Diagonale (letzter bekannter Wert) der Anfallperiode i, P(i) = Prämie, R(i) = Reserve, U(i) = Endschaden (Ultimate). Alle Formeln gelten für Jahres- und Quartalsdreiecke gleichermaßen.</w:t>
      </w:r>
    </w:p>
    <w:p>
      <w:pPr>
        <w:pStyle w:val="Heading2"/>
      </w:pPr>
      <w:r>
        <w:t xml:space="preserve">8.1  Chain Ladder</w:t>
      </w:r>
    </w:p>
    <w:p>
      <w:pPr>
        <w:spacing w:after="120" w:line="276"/>
      </w:pPr>
      <w:r>
        <w:t xml:space="preserve">Annahme: Alle Anfallperioden wickeln im Verhältnis gleich ab. Aus der Vergangenheit werden Abwicklungsfaktoren geschätzt und auf die aktuelle Diagonale angewendet.</w:t>
      </w:r>
    </w:p>
    <w:p>
      <w:pPr>
        <w:shd w:fill="F6F6F3" w:val="clear"/>
        <w:spacing w:after="0" w:before="80" w:line="300"/>
        <w:ind w:left="567"/>
        <w:jc w:val="left"/>
      </w:pPr>
      <w:r>
        <w:rPr>
          <w:rFonts w:ascii="Cambria Math" w:cs="Cambria Math" w:eastAsia="Cambria Math" w:hAnsi="Cambria Math"/>
          <w:sz w:val="22"/>
          <w:szCs w:val="22"/>
        </w:rPr>
        <w:t xml:space="preserve">f(j) = Σ C(i, j+1) / Σ C(i, j)     (Summe über alle Anfallperioden mit beiden Werten)</w:t>
      </w:r>
    </w:p>
    <w:p>
      <w:pPr>
        <w:shd w:fill="F6F6F3" w:val="clear"/>
        <w:spacing w:after="0" w:before="0" w:line="300"/>
        <w:ind w:left="567"/>
        <w:jc w:val="left"/>
      </w:pPr>
      <w:r>
        <w:rPr>
          <w:rFonts w:ascii="Cambria Math" w:cs="Cambria Math" w:eastAsia="Cambria Math" w:hAnsi="Cambria Math"/>
          <w:sz w:val="22"/>
          <w:szCs w:val="22"/>
        </w:rPr>
        <w:t xml:space="preserve">CDF(j) = f(j) · f(j+1) · … · f(J−1) · Tail</w:t>
      </w:r>
    </w:p>
    <w:p>
      <w:pPr>
        <w:shd w:fill="F6F6F3" w:val="clear"/>
        <w:spacing w:after="140" w:before="0" w:line="300"/>
        <w:ind w:left="567"/>
        <w:jc w:val="left"/>
      </w:pPr>
      <w:r>
        <w:rPr>
          <w:rFonts w:ascii="Cambria Math" w:cs="Cambria Math" w:eastAsia="Cambria Math" w:hAnsi="Cambria Math"/>
          <w:sz w:val="22"/>
          <w:szCs w:val="22"/>
        </w:rPr>
        <w:t xml:space="preserve">U(i) = D(i) · CDF(Entwicklungsstand von i),     R(i) = U(i) − D(i)</w:t>
      </w:r>
    </w:p>
    <w:p>
      <w:pPr>
        <w:spacing w:after="120" w:line="276"/>
      </w:pPr>
      <w:r>
        <w:rPr>
          <w:b/>
          <w:bCs/>
        </w:rPr>
        <w:t xml:space="preserve">Stärken:</w:t>
      </w:r>
      <w:r>
        <w:t xml:space="preserve"> einfach, nachvollziehbar, Marktstandard. </w:t>
      </w:r>
      <w:r>
        <w:rPr>
          <w:b/>
          <w:bCs/>
        </w:rPr>
        <w:t xml:space="preserve">Schwächen:</w:t>
      </w:r>
      <w:r>
        <w:t xml:space="preserve"> sehr empfindlich für junge Anfallperioden, weil ein kleiner, zufällig niedriger oder hoher Diagonalwert mit einem großen Faktor multipliziert wird.</w:t>
      </w:r>
    </w:p>
    <w:p>
      <w:pPr>
        <w:pStyle w:val="Heading2"/>
      </w:pPr>
      <w:r>
        <w:t xml:space="preserve">8.2  Mack-Modell</w:t>
      </w:r>
    </w:p>
    <w:p>
      <w:pPr>
        <w:spacing w:after="120" w:line="276"/>
      </w:pPr>
      <w:r>
        <w:t xml:space="preserve">Mack (1993) hat gezeigt, welches stochastische Modell hinter Chain Ladder steht, und daraus eine Formel für den </w:t>
      </w:r>
      <w:r>
        <w:rPr>
          <w:b/>
          <w:bCs/>
        </w:rPr>
        <w:t xml:space="preserve">Prognosefehler</w:t>
      </w:r>
      <w:r>
        <w:t xml:space="preserve"> (Standardfehler) abgeleitet. Er setzt sich aus dem </w:t>
      </w:r>
      <w:r>
        <w:rPr>
          <w:b/>
          <w:bCs/>
        </w:rPr>
        <w:t xml:space="preserve">Prozessfehler</w:t>
      </w:r>
      <w:r>
        <w:t xml:space="preserve"> (zufällige Schwankung der künftigen Zahlungen) und dem </w:t>
      </w:r>
      <w:r>
        <w:rPr>
          <w:b/>
          <w:bCs/>
        </w:rPr>
        <w:t xml:space="preserve">Schätzfehler</w:t>
      </w:r>
      <w:r>
        <w:t xml:space="preserve"> (Unsicherheit der geschätzten Faktoren) zusammen. Der Punktschätzer ist identisch mit Chain Ladder. Für die Quantile und das Sicherheitsniveau des Benchmarks nimmt das Tool eine Lognormalverteilung mit Mittelwert und Standardfehler nach Mack an.</w:t>
      </w:r>
    </w:p>
    <w:p>
      <w:pPr>
        <w:pStyle w:val="Heading2"/>
      </w:pPr>
      <w:r>
        <w:t xml:space="preserve">8.3  Expected Loss Ratio (ELR)</w:t>
      </w:r>
    </w:p>
    <w:p>
      <w:pPr>
        <w:shd w:fill="F6F6F3" w:val="clear"/>
        <w:spacing w:after="140" w:before="80" w:line="300"/>
        <w:ind w:left="567"/>
        <w:jc w:val="left"/>
      </w:pPr>
      <w:r>
        <w:rPr>
          <w:rFonts w:ascii="Cambria Math" w:cs="Cambria Math" w:eastAsia="Cambria Math" w:hAnsi="Cambria Math"/>
          <w:sz w:val="22"/>
          <w:szCs w:val="22"/>
        </w:rPr>
        <w:t xml:space="preserve">U(i) = P(i) · ELR,     R(i) = U(i) − D(i)</w:t>
      </w:r>
    </w:p>
    <w:p>
      <w:pPr>
        <w:spacing w:after="120" w:line="276"/>
      </w:pPr>
      <w:r>
        <w:t xml:space="preserve">Ignoriert die bisherige Abwicklung vollständig. Sinnvoll nur für sehr junge Perioden oder neues Geschäft ohne Historie. Für reife Perioden kann die Reserve </w:t>
      </w:r>
      <w:r>
        <w:rPr>
          <w:b/>
          <w:bCs/>
        </w:rPr>
        <w:t xml:space="preserve">negativ</w:t>
      </w:r>
      <w:r>
        <w:t xml:space="preserve"> werden, wenn der bekannte Schaden die Erwartung schon übersteigt – ein deutliches Zeichen, dass die Methode dort nicht passt.</w:t>
      </w:r>
    </w:p>
    <w:p>
      <w:pPr>
        <w:pStyle w:val="Heading2"/>
      </w:pPr>
      <w:r>
        <w:t xml:space="preserve">8.4  Bornhuetter-Ferguson (BF)</w:t>
      </w:r>
    </w:p>
    <w:p>
      <w:pPr>
        <w:shd w:fill="F6F6F3" w:val="clear"/>
        <w:spacing w:after="140" w:before="80" w:line="300"/>
        <w:ind w:left="567"/>
        <w:jc w:val="left"/>
      </w:pPr>
      <w:r>
        <w:rPr>
          <w:rFonts w:ascii="Cambria Math" w:cs="Cambria Math" w:eastAsia="Cambria Math" w:hAnsi="Cambria Math"/>
          <w:sz w:val="22"/>
          <w:szCs w:val="22"/>
        </w:rPr>
        <w:t xml:space="preserve">R(i) = P(i) · ELR · (1 − 1 / CDF(i)),     U(i) = D(i) + R(i)</w:t>
      </w:r>
    </w:p>
    <w:p>
      <w:pPr>
        <w:spacing w:after="120" w:line="276"/>
      </w:pPr>
      <w:r>
        <w:t xml:space="preserve">Die Reserve ist der </w:t>
      </w:r>
      <w:r>
        <w:rPr>
          <w:b/>
          <w:bCs/>
        </w:rPr>
        <w:t xml:space="preserve">noch ausstehende Anteil</w:t>
      </w:r>
      <w:r>
        <w:t xml:space="preserve"> des A-priori-Endschadens. Der bekannte Schaden wird übernommen, die Zukunft aber aus der Erwartung geschätzt – nicht aus dem (zufallsbehafteten) Diagonalwert. Daher ist BF für junge Anfallperioden deutlich stabiler als Chain Ladder, hängt aber direkt an der Güte der A-priori-Schadenquote.</w:t>
      </w:r>
    </w:p>
    <w:p>
      <w:pPr>
        <w:pStyle w:val="Heading2"/>
      </w:pPr>
      <w:r>
        <w:t xml:space="preserve">8.5  Cape Cod (Stanard-Bühlmann)</w:t>
      </w:r>
    </w:p>
    <w:p>
      <w:pPr>
        <w:shd w:fill="F6F6F3" w:val="clear"/>
        <w:spacing w:after="140" w:before="80" w:line="300"/>
        <w:ind w:left="567"/>
        <w:jc w:val="left"/>
      </w:pPr>
      <w:r>
        <w:rPr>
          <w:rFonts w:ascii="Cambria Math" w:cs="Cambria Math" w:eastAsia="Cambria Math" w:hAnsi="Cambria Math"/>
          <w:sz w:val="22"/>
          <w:szCs w:val="22"/>
        </w:rPr>
        <w:t xml:space="preserve">ELR_CC = Σ D(i) / Σ ( P(i) / CDF(i) ),     R(i) = P(i) · ELR_CC · (1 − 1/CDF(i))</w:t>
      </w:r>
    </w:p>
    <w:p>
      <w:pPr>
        <w:spacing w:after="120" w:line="276"/>
      </w:pPr>
      <w:r>
        <w:t xml:space="preserve">Wie BF, aber die Schadenquote wird aus den Daten geschätzt: bekannter Schaden geteilt durch die „verbrauchte“ Prämie. Vorteil: keine externe Annahme nötig. Nachteil: Eine gemeinsame Quote für alle Perioden unterstellt, dass sich Tarifniveau und Schadenhäufigkeit nicht verändert haben; sonst sollten die Prämien vorher auf ein einheitliches Niveau gebracht werden.</w:t>
      </w:r>
    </w:p>
    <w:p>
      <w:pPr>
        <w:pStyle w:val="Heading2"/>
      </w:pPr>
      <w:r>
        <w:t xml:space="preserve">8.6  Additives Verfahren</w:t>
      </w:r>
    </w:p>
    <w:p>
      <w:pPr>
        <w:shd w:fill="F6F6F3" w:val="clear"/>
        <w:spacing w:after="0" w:before="80" w:line="300"/>
        <w:ind w:left="567"/>
        <w:jc w:val="left"/>
      </w:pPr>
      <w:r>
        <w:rPr>
          <w:rFonts w:ascii="Cambria Math" w:cs="Cambria Math" w:eastAsia="Cambria Math" w:hAnsi="Cambria Math"/>
          <w:sz w:val="22"/>
          <w:szCs w:val="22"/>
        </w:rPr>
        <w:t xml:space="preserve">m(j) = Σ inkrementeller Schaden in Abwicklungsperiode j / Σ P(i)</w:t>
      </w:r>
    </w:p>
    <w:p>
      <w:pPr>
        <w:shd w:fill="F6F6F3" w:val="clear"/>
        <w:spacing w:after="140" w:before="0" w:line="300"/>
        <w:ind w:left="567"/>
        <w:jc w:val="left"/>
      </w:pPr>
      <w:r>
        <w:rPr>
          <w:rFonts w:ascii="Cambria Math" w:cs="Cambria Math" w:eastAsia="Cambria Math" w:hAnsi="Cambria Math"/>
          <w:sz w:val="22"/>
          <w:szCs w:val="22"/>
        </w:rPr>
        <w:t xml:space="preserve">R(i) = P(i) · Σ m(j)     (über alle noch ausstehenden Abwicklungsperioden)</w:t>
      </w:r>
    </w:p>
    <w:p>
      <w:pPr>
        <w:spacing w:after="120" w:line="276"/>
      </w:pPr>
      <w:r>
        <w:t xml:space="preserve">Schätzt je Abwicklungsperiode eine inkrementelle Schadenquote relativ zur Prämie. Robust gegenüber einzelnen Ausreißern in der Diagonale; setzt wie Cape Cod ein vergleichbares Prämienniveau voraus.</w:t>
      </w:r>
    </w:p>
    <w:p>
      <w:pPr>
        <w:pStyle w:val="Heading2"/>
      </w:pPr>
      <w:r>
        <w:t xml:space="preserve">8.7  ODP-Bootstrap</w:t>
      </w:r>
    </w:p>
    <w:p>
      <w:pPr>
        <w:spacing w:after="120" w:line="276"/>
      </w:pPr>
      <w:r>
        <w:t xml:space="preserve">Nach England und Verrall (2002): Das Dreieck wird als Over-dispersed-Poisson-Modell beschrieben, dessen Erwartungswert Chain Ladder entspricht. Die skalierten Pearson-Residuen werden zufällig neu verteilt, daraus entstehen Pseudo-Dreiecke; für jedes wird Chain Ladder gerechnet und eine Prozessschwankung (Gamma-Verteilung) ergänzt. Vorteil gegenüber Mack: eine vollständige Verteilung ohne Annahme über ihre Form. Nachteil: Das Modell passt schlecht bei vielen negativen Inkrementen.</w:t>
      </w:r>
    </w:p>
    <w:p>
      <w:pPr>
        <w:pStyle w:val="Heading2"/>
      </w:pPr>
      <w:r>
        <w:t xml:space="preserve">8.8  Welche Methode wann?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638"/>
      </w:tblGrid>
      <w:tr>
        <w:trPr>
          <w:tblHeader/>
        </w:trPr>
        <w:tc>
          <w:tcPr>
            <w:tcW w:type="dxa" w:w="40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Situation</w:t>
            </w:r>
          </w:p>
        </w:tc>
        <w:tc>
          <w:tcPr>
            <w:tcW w:type="dxa" w:w="56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Geeignete Verfahren</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Reife Anfallperioden (Entwicklungsgrad &gt; 80 %)</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Chain Ladder; alle Verfahren liegen hier meist nah beieinander.</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Mittlere Anfallperioden (30–80 %)</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Chain Ladder und BF im Vergleich; bei auffälligen Diagonalen eher BF.</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Junge Anfallperioden (&lt; 30 %) oder volatile Diagonale</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Bornhuetter-Ferguson, Cape Cod; Chain Ladder nur mit Vorsicht.</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Neues Geschäft ohne Historie</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ELR bzw. BF mit gut begründeter A-priori-Quote.</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Unsicherheit / Risikokapital</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Mack und Bootstrap im Vergleich; Unterschiede zeigen die Modellabhängigkeit.</w:t>
            </w:r>
          </w:p>
        </w:tc>
      </w:tr>
      <w:tr>
        <w:trPr>
          <w:cantSplit/>
        </w:trPr>
        <w:tc>
          <w:tcPr>
            <w:tcW w:type="dxa" w:w="40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Einordnung der eigenen Reserve</w:t>
            </w:r>
          </w:p>
        </w:tc>
        <w:tc>
          <w:tcPr>
            <w:tcW w:type="dxa" w:w="5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Benchmark mit Sicherheitsniveau nach Mack und Bootstrap (Kapitel 7).</w:t>
            </w:r>
          </w:p>
        </w:tc>
      </w:tr>
    </w:tbl>
    <w:p>
      <w:pPr>
        <w:pStyle w:val="Heading1"/>
        <w:pageBreakBefore/>
      </w:pPr>
      <w:r>
        <w:t xml:space="preserve">9  Ergebnisse interpretieren</w:t>
      </w:r>
    </w:p>
    <w:p>
      <w:pPr>
        <w:pStyle w:val="Heading2"/>
      </w:pPr>
      <w:r>
        <w:t xml:space="preserve">9.1  Was die Reserve bedeutet</w:t>
      </w:r>
    </w:p>
    <w:p>
      <w:pPr>
        <w:spacing w:after="120" w:line="276"/>
      </w:pPr>
      <w:r>
        <w:t xml:space="preserve">Die Reserve ist der geschätzte </w:t>
      </w:r>
      <w:r>
        <w:rPr>
          <w:b/>
          <w:bCs/>
        </w:rPr>
        <w:t xml:space="preserve">noch ausstehende Betrag</w:t>
      </w:r>
      <w:r>
        <w:t xml:space="preserve"> bis zur vollständigen Abwicklung der bereits eingetretenen Schäden. Ihre genaue Bedeutung hängt vom Dreieck ab:</w:t>
      </w:r>
    </w:p>
    <w:p>
      <w:pPr>
        <w:pStyle w:val="ListParagraph"/>
        <w:numPr>
          <w:ilvl w:val="0"/>
          <w:numId w:val="2"/>
        </w:numPr>
        <w:spacing w:after="60" w:line="264"/>
      </w:pPr>
      <w:r>
        <w:rPr>
          <w:b/>
          <w:bCs/>
        </w:rPr>
        <w:t xml:space="preserve">Bezahlte Schäden (paid):</w:t>
      </w:r>
      <w:r>
        <w:t xml:space="preserve"> Reserve = gesamte Schadenrückstellung (Einzelreserven plus Spätschäden/IBNR).</w:t>
      </w:r>
    </w:p>
    <w:p>
      <w:pPr>
        <w:pStyle w:val="ListParagraph"/>
        <w:numPr>
          <w:ilvl w:val="0"/>
          <w:numId w:val="2"/>
        </w:numPr>
        <w:spacing w:after="60" w:line="264"/>
      </w:pPr>
      <w:r>
        <w:rPr>
          <w:b/>
          <w:bCs/>
        </w:rPr>
        <w:t xml:space="preserve">Gemeldete Schäden (incurred):</w:t>
      </w:r>
      <w:r>
        <w:t xml:space="preserve"> Reserve = Spätschadenreserve (IBNR inklusive Nachreservierungen auf bekannte Schäden, IBNER).</w:t>
      </w:r>
    </w:p>
    <w:p>
      <w:pPr>
        <w:spacing w:after="120" w:line="276"/>
      </w:pPr>
      <w:r>
        <w:t xml:space="preserve">Die </w:t>
      </w:r>
      <w:r>
        <w:rPr>
          <w:b/>
          <w:bCs/>
        </w:rPr>
        <w:t xml:space="preserve">Punktschätzer</w:t>
      </w:r>
      <w:r>
        <w:t xml:space="preserve"> (Reserve je Verfahren) beschreiben den erwarteten Betrag. </w:t>
      </w:r>
      <w:r>
        <w:rPr>
          <w:b/>
          <w:bCs/>
        </w:rPr>
        <w:t xml:space="preserve">Standardfehler, VK und Quantile</w:t>
      </w:r>
      <w:r>
        <w:t xml:space="preserve"> beschreiben, wie stark das tatsächliche Ergebnis davon abweichen kann. Die manuelle Reserve muss auf derselben Basis stehen, sonst ist der Benchmark-Vergleich nicht aussagekräftig.</w:t>
      </w:r>
    </w:p>
    <w:p>
      <w:pPr>
        <w:pStyle w:val="Heading2"/>
      </w:pPr>
      <w:r>
        <w:t xml:space="preserve">9.2  Den Methodenvergleich lesen</w:t>
      </w:r>
    </w:p>
    <w:p>
      <w:pPr>
        <w:pStyle w:val="ListParagraph"/>
        <w:numPr>
          <w:ilvl w:val="0"/>
          <w:numId w:val="5"/>
        </w:numPr>
        <w:spacing w:after="60" w:line="264"/>
      </w:pPr>
      <w:r>
        <w:rPr>
          <w:b/>
          <w:bCs/>
        </w:rPr>
        <w:t xml:space="preserve">Spanne betrachten:</w:t>
      </w:r>
      <w:r>
        <w:t xml:space="preserve"> Liegen alle Verfahren innerhalb von etwa ±1 Standardfehler um Chain Ladder, sind die Unterschiede im Rahmen der ohnehin bestehenden Unsicherheit.</w:t>
      </w:r>
    </w:p>
    <w:p>
      <w:pPr>
        <w:pStyle w:val="ListParagraph"/>
        <w:numPr>
          <w:ilvl w:val="0"/>
          <w:numId w:val="5"/>
        </w:numPr>
        <w:spacing w:after="60" w:line="264"/>
      </w:pPr>
      <w:r>
        <w:rPr>
          <w:b/>
          <w:bCs/>
        </w:rPr>
        <w:t xml:space="preserve">Ursache suchen:</w:t>
      </w:r>
      <w:r>
        <w:t xml:space="preserve"> Auf der Seite „Je Anfallperiode“ prüfen, in welchen Perioden die Verfahren auseinanderlaufen. Fast immer sind es die jüngsten.</w:t>
      </w:r>
    </w:p>
    <w:p>
      <w:pPr>
        <w:pStyle w:val="ListParagraph"/>
        <w:numPr>
          <w:ilvl w:val="0"/>
          <w:numId w:val="5"/>
        </w:numPr>
        <w:spacing w:after="60" w:line="264"/>
      </w:pPr>
      <w:r>
        <w:rPr>
          <w:b/>
          <w:bCs/>
        </w:rPr>
        <w:t xml:space="preserve">Implizite Schadenquoten vergleichen:</w:t>
      </w:r>
      <w:r>
        <w:t xml:space="preserve"> Welches Verfahren liefert für die jungen Perioden eine Schadenquote, die zur Erfahrung und zur Tarifierung passt?</w:t>
      </w:r>
    </w:p>
    <w:p>
      <w:pPr>
        <w:pStyle w:val="ListParagraph"/>
        <w:numPr>
          <w:ilvl w:val="0"/>
          <w:numId w:val="5"/>
        </w:numPr>
        <w:spacing w:after="60" w:line="264"/>
      </w:pPr>
      <w:r>
        <w:rPr>
          <w:b/>
          <w:bCs/>
        </w:rPr>
        <w:t xml:space="preserve">Annahmen hinterfragen:</w:t>
      </w:r>
      <w:r>
        <w:t xml:space="preserve"> Liegen prämienbasierte Verfahren systematisch über oder unter Chain Ladder, ist entweder die A-priori-Quote zu hoch bzw. zu niedrig oder die jungen Diagonalen sind auffällig.</w:t>
      </w:r>
    </w:p>
    <w:p>
      <w:pPr>
        <w:pStyle w:val="ListParagraph"/>
        <w:numPr>
          <w:ilvl w:val="0"/>
          <w:numId w:val="5"/>
        </w:numPr>
        <w:spacing w:after="60" w:line="264"/>
      </w:pPr>
      <w:r>
        <w:rPr>
          <w:b/>
          <w:bCs/>
        </w:rPr>
        <w:t xml:space="preserve">Eigene Reserve einordnen:</w:t>
      </w:r>
      <w:r>
        <w:t xml:space="preserve"> Mit Benchmark zeigen Sicherheitsniveau und Abweichungen je Periode, wie vorsichtig die eigene Reserve ist und wo sie von den Verfahren abweicht.</w:t>
      </w:r>
    </w:p>
    <w:p>
      <w:pPr>
        <w:pStyle w:val="ListParagraph"/>
        <w:numPr>
          <w:ilvl w:val="0"/>
          <w:numId w:val="5"/>
        </w:numPr>
        <w:spacing w:after="60" w:line="264"/>
      </w:pPr>
      <w:r>
        <w:rPr>
          <w:b/>
          <w:bCs/>
        </w:rPr>
        <w:t xml:space="preserve">Entscheidung dokumentieren:</w:t>
      </w:r>
      <w:r>
        <w:t xml:space="preserve"> Häufige Praxis ist eine Kombination – Chain Ladder für reife Perioden, BF für junge Perioden.</w:t>
      </w:r>
    </w:p>
    <w:p>
      <w:pPr>
        <w:pStyle w:val="Heading2"/>
      </w:pPr>
      <w:r>
        <w:t xml:space="preserve">9.3  Unsicherheitsmaße verstehen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800"/>
        <w:gridCol w:w="3538"/>
      </w:tblGrid>
      <w:tr>
        <w:trPr>
          <w:tblHeader/>
        </w:trPr>
        <w:tc>
          <w:tcPr>
            <w:tcW w:type="dxa" w:w="23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Kennzahl</w:t>
            </w:r>
          </w:p>
        </w:tc>
        <w:tc>
          <w:tcPr>
            <w:tcW w:type="dxa" w:w="38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Aussage</w:t>
            </w:r>
          </w:p>
        </w:tc>
        <w:tc>
          <w:tcPr>
            <w:tcW w:type="dxa" w:w="35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Faustregel</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Standardfehler (SE)</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Typische Abweichung der tatsächlichen Reserve vom Schätzwert.</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Absolutes Maß, in Währungseinheiten.</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Variationskoeffizient (VK)</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SE relativ zur Reserve.</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Unter 10 %: stabil; 10–25 %: üblich; über 50 %: sehr unsicher (kleine oder volatile Bestände).</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75 %-Quantil</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 drei von vier Fällen reicht dieser Betrag.</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Oft als vorsichtige Reserve („mit Sicherheitszuschlag“) diskutiert.</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99,5 %-Quantil</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Nur in 1 von 200 Fällen wird dieser Betrag überschritten.</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Maß für Extremrisiko.</w:t>
            </w:r>
          </w:p>
        </w:tc>
      </w:tr>
      <w:tr>
        <w:trPr>
          <w:cantSplit/>
        </w:trPr>
        <w:tc>
          <w:tcPr>
            <w:tcW w:type="dxa" w:w="23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Sicherheitsniveau (Benchmark)</w:t>
            </w:r>
          </w:p>
        </w:tc>
        <w:tc>
          <w:tcPr>
            <w:tcW w:type="dxa" w:w="38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Anteil der Szenarien, den die manuelle Reserve abdeckt.</w:t>
            </w:r>
          </w:p>
        </w:tc>
        <w:tc>
          <w:tcPr>
            <w:tcW w:type="dxa" w:w="35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Umkehrung des Quantils: Niveau 75 % heißt, die manuelle Reserve entspricht dem 75 %-Quantil.</w:t>
            </w:r>
          </w:p>
        </w:tc>
      </w:tr>
    </w:tbl>
    <w:p>
      <w:pPr>
        <w:spacing w:after="120"/>
      </w:pPr>
    </w:p>
    <w:p>
      <w:pPr>
        <w:pBdr>
          <w:left w:val="single" w:color="C8651B" w:sz="18" w:space="8"/>
        </w:pBdr>
        <w:shd w:fill="FDF4EC" w:val="clear"/>
        <w:spacing w:after="40" w:before="120"/>
        <w:ind w:left="200" w:right="200"/>
      </w:pPr>
      <w:r>
        <w:rPr>
          <w:b/>
          <w:bCs/>
          <w:color w:val="C8651B"/>
        </w:rPr>
        <w:t xml:space="preserve">Wichtig für Solvency II</w:t>
      </w:r>
    </w:p>
    <w:p>
      <w:pPr>
        <w:pBdr>
          <w:left w:val="single" w:color="C8651B" w:sz="18" w:space="8"/>
        </w:pBdr>
        <w:shd w:fill="FDF4EC" w:val="clear"/>
        <w:spacing w:after="160" w:before="0" w:line="264"/>
        <w:ind w:left="200" w:right="200"/>
      </w:pPr>
      <w:r>
        <w:t xml:space="preserve">Mack und Bootstrap messen die Unsicherheit </w:t>
      </w:r>
      <w:r>
        <w:rPr>
          <w:b/>
          <w:bCs/>
        </w:rPr>
        <w:t xml:space="preserve">bis zur vollständigen Abwicklung</w:t>
      </w:r>
      <w:r>
        <w:t xml:space="preserve"> (Ultimo-Sicht). Das Reserverisiko nach Solvency II verwendet dagegen die </w:t>
      </w:r>
      <w:r>
        <w:rPr>
          <w:b/>
          <w:bCs/>
        </w:rPr>
        <w:t xml:space="preserve">Ein-Jahres-Sicht</w:t>
      </w:r>
      <w:r>
        <w:t xml:space="preserve"> (z. B. Merz-Wüthrich), die in der Regel kleinere Werte liefert. Das 99,5 %-Quantil dieses Tools ist daher </w:t>
      </w:r>
      <w:r>
        <w:rPr>
          <w:b/>
          <w:bCs/>
        </w:rPr>
        <w:t xml:space="preserve">nicht</w:t>
      </w:r>
      <w:r>
        <w:t xml:space="preserve"> direkt als Solvenzkapitalanforderung zu verwenden.</w:t>
      </w:r>
    </w:p>
    <w:p>
      <w:pPr>
        <w:pStyle w:val="Heading2"/>
      </w:pPr>
      <w:r>
        <w:t xml:space="preserve">9.4  Warnsignale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100"/>
        <w:gridCol w:w="3638"/>
      </w:tblGrid>
      <w:tr>
        <w:trPr>
          <w:tblHeader/>
        </w:trPr>
        <w:tc>
          <w:tcPr>
            <w:tcW w:type="dxa" w:w="2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Beobachtung</w:t>
            </w:r>
          </w:p>
        </w:tc>
        <w:tc>
          <w:tcPr>
            <w:tcW w:type="dxa" w:w="31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Mögliche Bedeutung</w:t>
            </w:r>
          </w:p>
        </w:tc>
        <w:tc>
          <w:tcPr>
            <w:tcW w:type="dxa" w:w="36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Was tun?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Einzelfaktor weit über dem Durchschnitt</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Kleiner Startwert oder Großschaden</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Einfluss auf den gewichteten Faktor prüfen; ggf. Faktor ausschließen (außerhalb des Tools).</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Faktoren &lt; 1</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Regresse, Auflösung von Einzelreserven</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Bei gemeldeten Schäden normal; bei bezahlten Schäden klären.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ELR-Reserve negativ</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Bekannter Schaden übersteigt die Erwartung</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ELR für diese Periode ungeeignet; A-priori-Quote prüfen.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CL und BF weichen bei jungen Perioden stark ab</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Diagonale ungewöhnlich hoch/niedrig oder A-priori-Quote unpassend</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Implizite Schadenquoten vergleichen; eher BF verwenden.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VK über 50 %</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Sehr volatile oder kleine Daten</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Ergebnisse als Bandbreite berichten, nicht als Punkt.</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Bootstrap-Mittel weicht deutlich von CL ab</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Schiefe Residuen, negative Inkremente</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Residuen prüfen; eher Mack verwenden.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Mack- und Bootstrap-Quantile weit auseinander</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Starke Abhängigkeit von der Verteilungsannahme</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Beide Ergebnisse berichten; Modellrisiko benennen.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Sicherheitsniveau der manuellen Reserve unter 50 %</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Eigene Reserve liegt unter dem Median</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Annahmen der eigenen Reserve prüfen und begründen.</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Niveau je Periode sehr ungleich</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Vorsicht ist ungleich verteilt</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Prüfen, ob Zuschläge gezielt (junge Perioden) oder zufällig entstanden sind.</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Quartal und verdichtetes Jahr weichen stark ab</w:t>
            </w:r>
          </w:p>
        </w:tc>
        <w:tc>
          <w:tcPr>
            <w:tcW w:type="dxa" w:w="31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Unterschiedliche Hochrechnungstiefe, Saisonalität oder fehlender Tail</w:t>
            </w:r>
          </w:p>
        </w:tc>
        <w:tc>
          <w:tcPr>
            <w:tcW w:type="dxa" w:w="3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Tail-Faktor nach der Verdichtung prüfen; Quartalsfaktoren auf Muster prüfen.</w:t>
            </w:r>
          </w:p>
        </w:tc>
      </w:tr>
    </w:tbl>
    <w:p>
      <w:pPr>
        <w:pStyle w:val="Heading1"/>
        <w:pageBreakBefore/>
      </w:pPr>
      <w:r>
        <w:t xml:space="preserve">10  Beispiel: Auswertung des Demo-Dreiecks</w:t>
      </w:r>
    </w:p>
    <w:p>
      <w:pPr>
        <w:spacing w:after="120" w:line="276"/>
      </w:pPr>
      <w:r>
        <w:t xml:space="preserve">Das RAA-Dreieck enthält Rückversicherungsschäden der Anfalljahre 1981 bis 1990. Die Prämien (30.000 bis 38.000) und die A-priori-Schadenquote von 70 % sind </w:t>
      </w:r>
      <w:r>
        <w:rPr>
          <w:b/>
          <w:bCs/>
        </w:rPr>
        <w:t xml:space="preserve">fiktiv</w:t>
      </w:r>
      <w:r>
        <w:t xml:space="preserve">; die Aussagen zu den prämienbasierten Verfahren illustrieren daher die Vorgehensweise, nicht die tatsächliche Reservesituation.</w:t>
      </w:r>
    </w:p>
    <w:p>
      <w:pPr>
        <w:pStyle w:val="Heading2"/>
      </w:pPr>
      <w:r>
        <w:t xml:space="preserve">10.1  Ergebnis auf einen Blick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900"/>
        <w:gridCol w:w="1900"/>
        <w:gridCol w:w="2638"/>
      </w:tblGrid>
      <w:tr>
        <w:trPr>
          <w:tblHeader/>
        </w:trPr>
        <w:tc>
          <w:tcPr>
            <w:tcW w:type="dxa" w:w="32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Verfahren</w:t>
            </w:r>
          </w:p>
        </w:tc>
        <w:tc>
          <w:tcPr>
            <w:tcW w:type="dxa" w:w="1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Reserve</w:t>
            </w:r>
          </w:p>
        </w:tc>
        <w:tc>
          <w:tcPr>
            <w:tcW w:type="dxa" w:w="1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Abw. zu CL</w:t>
            </w:r>
          </w:p>
        </w:tc>
        <w:tc>
          <w:tcPr>
            <w:tcW w:type="dxa" w:w="26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right"/>
            </w:pPr>
            <w:r>
              <w:rPr>
                <w:b/>
                <w:bCs/>
                <w:sz w:val="19"/>
                <w:szCs w:val="19"/>
              </w:rPr>
              <w:t xml:space="preserve">Standardfehler</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Chain Ladder / Mack</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52.135</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26.909 (VK 51,6 %)</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Cape Cod</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65.919</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+26,4 %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Additiv</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67.756</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+30,0 %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Bornhuetter-Ferguson</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68.430</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+31,3 %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Expected Loss Ratio</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74.563</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+43,0 %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ODP-Bootstrap (Mittel)</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54.150</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+3,9 %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19.373 (VK 35,8 %)</w:t>
            </w:r>
          </w:p>
        </w:tc>
      </w:tr>
      <w:tr>
        <w:trPr>
          <w:cantSplit/>
        </w:trPr>
        <w:tc>
          <w:tcPr>
            <w:tcW w:type="dxa" w:w="32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Manuelle Reserve (Benchmark)</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62.600</w:t>
            </w:r>
          </w:p>
        </w:tc>
        <w:tc>
          <w:tcPr>
            <w:tcW w:type="dxa" w:w="1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r>
              <w:rPr>
                <w:sz w:val="19"/>
                <w:szCs w:val="19"/>
              </w:rPr>
              <w:t xml:space="preserve">+20,1 %</w:t>
            </w:r>
          </w:p>
        </w:tc>
        <w:tc>
          <w:tcPr>
            <w:tcW w:type="dxa" w:w="26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right"/>
            </w:pPr>
          </w:p>
        </w:tc>
      </w:tr>
    </w:tbl>
    <w:p>
      <w:pPr>
        <w:spacing w:after="120"/>
      </w:pPr>
    </w:p>
    <w:p>
      <w:pPr>
        <w:pStyle w:val="Heading2"/>
      </w:pPr>
      <w:r>
        <w:t xml:space="preserve">10.2  Aussagen</w:t>
      </w:r>
    </w:p>
    <w:p>
      <w:pPr>
        <w:pStyle w:val="Heading3"/>
      </w:pPr>
      <w:r>
        <w:t xml:space="preserve">1. Die Unsicherheit ist sehr hoch</w:t>
      </w:r>
    </w:p>
    <w:p>
      <w:pPr>
        <w:spacing w:after="120" w:line="276"/>
      </w:pPr>
      <w:r>
        <w:t xml:space="preserve">Der Mack-Standardfehler beträgt 26.909, also rund </w:t>
      </w:r>
      <w:r>
        <w:rPr>
          <w:b/>
          <w:bCs/>
        </w:rPr>
        <w:t xml:space="preserve">52 % der Reserve</w:t>
      </w:r>
      <w:r>
        <w:t xml:space="preserve">. Das ist typisch für ein kleines, volatiles Rückversicherungsdreieck. Jede Punktschätzung sollte deshalb als Bandbreite verstanden werden. Alle sechs Verfahren liegen innerhalb von ±1 Standardfehler um Chain Ladder (25.226 bis 79.044).</w:t>
      </w:r>
    </w:p>
    <w:p>
      <w:pPr>
        <w:pStyle w:val="Heading3"/>
      </w:pPr>
      <w:r>
        <w:t xml:space="preserve">2. Der Unterschied entsteht fast nur in den zwei jüngsten Jahren</w:t>
      </w:r>
    </w:p>
    <w:p>
      <w:pPr>
        <w:spacing w:after="120" w:line="276"/>
      </w:pPr>
      <w:r>
        <w:t xml:space="preserve">BF liegt insgesamt 16.295 über Chain Ladder. Davon entfallen 6.541 auf 1989 und 7.279 auf 1990 – zusammen </w:t>
      </w:r>
      <w:r>
        <w:rPr>
          <w:b/>
          <w:bCs/>
        </w:rPr>
        <w:t xml:space="preserve">rund 85 %</w:t>
      </w:r>
      <w:r>
        <w:t xml:space="preserve"> des Unterschieds. Für die Jahre bis 1988 liegen die Verfahren nah beieinander.</w:t>
      </w:r>
    </w:p>
    <w:p>
      <w:pPr>
        <w:pStyle w:val="Heading3"/>
      </w:pPr>
      <w:r>
        <w:t xml:space="preserve">3. Anfalljahr 1989: Chain Ladder vermutlich zu niedrig</w:t>
      </w:r>
    </w:p>
    <w:p>
      <w:pPr>
        <w:spacing w:after="120" w:line="276"/>
      </w:pPr>
      <w:r>
        <w:t xml:space="preserve">1989 hat nach zwei Jahren erst 5.395 gemeldet. Chain Ladder rechnet diesen niedrigen Wert hoch und kommt auf eine Reserve von 10.650 – weniger als für das ältere Jahr 1988 (10.907). Die implizite Schadenquote liegt bei nur </w:t>
      </w:r>
      <w:r>
        <w:rPr>
          <w:b/>
          <w:bCs/>
        </w:rPr>
        <w:t xml:space="preserve">43,4 %</w:t>
      </w:r>
      <w:r>
        <w:t xml:space="preserve">, während die Cape-Cod-Quote aus den Daten 67,4 % beträgt. BF (17.191) ist hier plausibler. Das ist der klassische Fall, in dem BF gegenüber Chain Ladder robuster ist.</w:t>
      </w:r>
    </w:p>
    <w:p>
      <w:pPr>
        <w:pStyle w:val="Heading3"/>
      </w:pPr>
      <w:r>
        <w:t xml:space="preserve">4. Anfalljahr 1990: Schätzung kaum belastbar</w:t>
      </w:r>
    </w:p>
    <w:p>
      <w:pPr>
        <w:spacing w:after="120" w:line="276"/>
      </w:pPr>
      <w:r>
        <w:t xml:space="preserve">Mit einem Entwicklungsgrad von nur 11,2 % ist fast der gesamte Schaden noch unbekannt. Der Mack-Standardfehler (24.566) ist größer als die Chain-Ladder-Reserve selbst (16.339). Für dieses Jahr sollte eine prämienbasierte Methode verwendet werden; die Wahl der A-priori-Quote ist hier die entscheidende Annahme.</w:t>
      </w:r>
    </w:p>
    <w:p>
      <w:pPr>
        <w:pStyle w:val="Heading3"/>
      </w:pPr>
      <w:r>
        <w:t xml:space="preserve">5. ELR ist für reife Jahre ungeeignet</w:t>
      </w:r>
    </w:p>
    <w:p>
      <w:pPr>
        <w:spacing w:after="120" w:line="276"/>
      </w:pPr>
      <w:r>
        <w:t xml:space="preserve">Für 1983 bis 1985 liefert ELR </w:t>
      </w:r>
      <w:r>
        <w:rPr>
          <w:b/>
          <w:bCs/>
        </w:rPr>
        <w:t xml:space="preserve">negative Reserven</w:t>
      </w:r>
      <w:r>
        <w:t xml:space="preserve"> (−1.766, −4.667, −3.080), weil der bekannte Schaden die 70-%-Erwartung bereits übersteigt. Die ELR-Gesamtreserve (74.563) ist deshalb kein sinnvoller Schätzer, zeigt aber, wie weit die Daten von der A-priori-Annahme abweichen.</w:t>
      </w:r>
    </w:p>
    <w:p>
      <w:pPr>
        <w:pStyle w:val="Heading3"/>
      </w:pPr>
      <w:r>
        <w:t xml:space="preserve">6. Ein Ausreißer bei den Einzelfaktoren</w:t>
      </w:r>
    </w:p>
    <w:p>
      <w:pPr>
        <w:spacing w:after="120" w:line="276"/>
      </w:pPr>
      <w:r>
        <w:t xml:space="preserve">1982 wächst der Schaden von 106 auf 4.285 – Einzelfaktor </w:t>
      </w:r>
      <w:r>
        <w:rPr>
          <w:b/>
          <w:bCs/>
        </w:rPr>
        <w:t xml:space="preserve">40,4</w:t>
      </w:r>
      <w:r>
        <w:t xml:space="preserve">. Der einfache Mittelwert der Faktoren von Jahr 1 nach 2 (8,21) wird dadurch stark verzerrt; der gewichtete Chain-Ladder-Faktor (3,00) kaum, weil der kleine Startwert kaum Gewicht hat. Das zeigt, warum volumengewichtete Faktoren Standard sind. Der Faktor betrifft außerdem nur 1990, das ohnehin prämienbasiert geschätzt werden sollte.</w:t>
      </w:r>
    </w:p>
    <w:p>
      <w:pPr>
        <w:pStyle w:val="Heading3"/>
      </w:pPr>
      <w:r>
        <w:t xml:space="preserve">7. Mack und Bootstrap bewerten das Risiko unterschiedlich</w:t>
      </w:r>
    </w:p>
    <w:p>
      <w:pPr>
        <w:spacing w:after="120" w:line="276"/>
      </w:pPr>
      <w:r>
        <w:t xml:space="preserve">Bootstrap-Mittelwert (54.150) und Chain Ladder (52.135) liegen nah beieinander, der Bootstrap-Standardfehler ist aber deutlich kleiner (19.373 gegenüber 26.909). Noch größer ist der Unterschied im Extrembereich: Das 99,5 %-Quantil liegt bei 115.309 (Bootstrap) gegenüber 161.994 (Mack mit Lognormal-Annahme). Beide Modelle sind anerkannt; der Abstand zeigt, wie stark Risikoaussagen bei kleinen Dreiecken von der Modellwahl abhängen.</w:t>
      </w:r>
    </w:p>
    <w:p>
      <w:pPr>
        <w:pStyle w:val="Heading3"/>
      </w:pPr>
      <w:r>
        <w:t xml:space="preserve">8. Die manuelle Reserve ist moderat vorsichtig</w:t>
      </w:r>
    </w:p>
    <w:p>
      <w:pPr>
        <w:spacing w:after="120" w:line="276"/>
      </w:pPr>
      <w:r>
        <w:t xml:space="preserve">Die fiktive manuelle Reserve von 62.600 liegt 20,1 % über Chain Ladder und deckt 71 % der Bootstrap- bzw. 73 % der Mack-Szenarien ab. Ihre Zuschläge konzentrieren sich richtigerweise auf 1989 und 1990 (Abschnitt 7.6).</w:t>
      </w:r>
    </w:p>
    <w:p>
      <w:pPr>
        <w:pStyle w:val="Heading2"/>
      </w:pPr>
      <w:r>
        <w:t xml:space="preserve">10.3  Mögliche Schlussfolgerung</w:t>
      </w:r>
    </w:p>
    <w:p>
      <w:pPr>
        <w:pBdr>
          <w:left w:val="single" w:color="2A78D6" w:sz="18" w:space="8"/>
        </w:pBdr>
        <w:shd w:fill="F3F7FD" w:val="clear"/>
        <w:spacing w:after="40" w:before="120"/>
        <w:ind w:left="200" w:right="200"/>
      </w:pPr>
      <w:r>
        <w:rPr>
          <w:b/>
          <w:bCs/>
          <w:color w:val="2A78D6"/>
        </w:rPr>
        <w:t xml:space="preserve">Beispielhafte Zusammenfassung</w:t>
      </w:r>
    </w:p>
    <w:p>
      <w:pPr>
        <w:pBdr>
          <w:left w:val="single" w:color="2A78D6" w:sz="18" w:space="8"/>
        </w:pBdr>
        <w:shd w:fill="F3F7FD" w:val="clear"/>
        <w:spacing w:after="160" w:before="0" w:line="264"/>
        <w:ind w:left="200" w:right="200"/>
      </w:pPr>
      <w:r>
        <w:t xml:space="preserve">Für die Anfalljahre 1981 bis 1988 wird Chain Ladder verwendet, für 1989 und 1990 Bornhuetter-Ferguson. Damit ergibt sich eine Reserve von rund 66.000. Die manuelle Reserve (62.600) liegt etwas darunter, vor allem wegen 1990; ihr Sicherheitsniveau von gut 70 % ist angesichts des hohen Variationskoeffizienten (über 50 %) vertretbar. Die Reserve wird mit einer Bandbreite berichtet; das Modellrisiko zwischen Mack und Bootstrap wird ausdrücklich genannt.</w:t>
      </w:r>
    </w:p>
    <w:p>
      <w:pPr>
        <w:spacing w:after="120" w:line="276"/>
      </w:pPr>
      <w:r>
        <w:rPr>
          <w:sz w:val="20"/>
          <w:szCs w:val="20"/>
        </w:rPr>
        <w:t xml:space="preserve">Die Werte für diese Mischung lassen sich direkt aus der Tabelle „Reserven“ ablesen: Summe der Chain-Ladder-Reserven 1981–1988 (25.146) plus BF 1989 und 1990 (17.191 + 23.618 = 40.809) = </w:t>
      </w:r>
      <w:r>
        <w:rPr>
          <w:b/>
          <w:bCs/>
          <w:sz w:val="20"/>
          <w:szCs w:val="20"/>
        </w:rPr>
        <w:t xml:space="preserve">65.955</w:t>
      </w:r>
      <w:r>
        <w:rPr>
          <w:sz w:val="20"/>
          <w:szCs w:val="20"/>
        </w:rPr>
        <w:t xml:space="preserve">.</w:t>
      </w:r>
    </w:p>
    <w:p>
      <w:pPr>
        <w:pStyle w:val="Heading1"/>
        <w:pageBreakBefore/>
      </w:pPr>
      <w:r>
        <w:t xml:space="preserve">11  Grenzen und Hinweise</w:t>
      </w:r>
    </w:p>
    <w:p>
      <w:pPr>
        <w:pStyle w:val="ListParagraph"/>
        <w:numPr>
          <w:ilvl w:val="0"/>
          <w:numId w:val="2"/>
        </w:numPr>
        <w:spacing w:after="60" w:line="264"/>
      </w:pPr>
      <w:r>
        <w:rPr>
          <w:b/>
          <w:bCs/>
        </w:rPr>
        <w:t xml:space="preserve">Keine automatische Faktorauswahl:</w:t>
      </w:r>
      <w:r>
        <w:t xml:space="preserve"> Alle beobachteten Faktoren gehen in die Schätzung ein. Einzelne Faktoren auszuschließen oder zu glätten ist im Tool nicht vorgesehen und müsste in den Daten erfolgen.</w:t>
      </w:r>
    </w:p>
    <w:p>
      <w:pPr>
        <w:pStyle w:val="ListParagraph"/>
        <w:numPr>
          <w:ilvl w:val="0"/>
          <w:numId w:val="2"/>
        </w:numPr>
        <w:spacing w:after="60" w:line="264"/>
      </w:pPr>
      <w:r>
        <w:rPr>
          <w:b/>
          <w:bCs/>
        </w:rPr>
        <w:t xml:space="preserve">Tail-Faktor ist eine Eingabe:</w:t>
      </w:r>
      <w:r>
        <w:t xml:space="preserve"> Das Tool schätzt keinen Tail. Mit Tail-Faktor wird der Mack-Standardfehler proportional hochgerechnet – eine Näherung.</w:t>
      </w:r>
    </w:p>
    <w:p>
      <w:pPr>
        <w:pStyle w:val="ListParagraph"/>
        <w:numPr>
          <w:ilvl w:val="0"/>
          <w:numId w:val="2"/>
        </w:numPr>
        <w:spacing w:after="60" w:line="264"/>
      </w:pPr>
      <w:r>
        <w:rPr>
          <w:b/>
          <w:bCs/>
        </w:rPr>
        <w:t xml:space="preserve">Keine Inflationsbereinigung:</w:t>
      </w:r>
      <w:r>
        <w:t xml:space="preserve"> Inflation oder Änderungen im Tarifniveau sind nicht gesondert modelliert. Für Cape Cod und das additive Verfahren sollten Prämien gegebenenfalls vorher auf ein einheitliches Niveau gebracht werden.</w:t>
      </w:r>
    </w:p>
    <w:p>
      <w:pPr>
        <w:pStyle w:val="ListParagraph"/>
        <w:numPr>
          <w:ilvl w:val="0"/>
          <w:numId w:val="2"/>
        </w:numPr>
        <w:spacing w:after="60" w:line="264"/>
      </w:pPr>
      <w:r>
        <w:rPr>
          <w:b/>
          <w:bCs/>
        </w:rPr>
        <w:t xml:space="preserve">Ultimo-Sicht:</w:t>
      </w:r>
      <w:r>
        <w:t xml:space="preserve"> Unsicherheitsmaße und Sicherheitsniveau beziehen sich auf die vollständige Abwicklung, nicht auf ein Jahr (siehe Abschnitt 9.3).</w:t>
      </w:r>
    </w:p>
    <w:p>
      <w:pPr>
        <w:pStyle w:val="ListParagraph"/>
        <w:numPr>
          <w:ilvl w:val="0"/>
          <w:numId w:val="2"/>
        </w:numPr>
        <w:spacing w:after="60" w:line="264"/>
      </w:pPr>
      <w:r>
        <w:rPr>
          <w:b/>
          <w:bCs/>
        </w:rPr>
        <w:t xml:space="preserve">Bootstrap-Voraussetzungen:</w:t>
      </w:r>
      <w:r>
        <w:t xml:space="preserve"> Das ODP-Modell setzt überwiegend positive Inkremente voraus. Bei vielen negativen Inkrementen (z. B. gemeldete Schäden mit Reserveauflösungen) sind die Ergebnisse mit Vorsicht zu lesen.</w:t>
      </w:r>
    </w:p>
    <w:p>
      <w:pPr>
        <w:pStyle w:val="ListParagraph"/>
        <w:numPr>
          <w:ilvl w:val="0"/>
          <w:numId w:val="2"/>
        </w:numPr>
        <w:spacing w:after="60" w:line="264"/>
      </w:pPr>
      <w:r>
        <w:rPr>
          <w:b/>
          <w:bCs/>
        </w:rPr>
        <w:t xml:space="preserve">Kleine Datenmengen:</w:t>
      </w:r>
      <w:r>
        <w:t xml:space="preserve"> Bei wenigen Anfallperioden sind Faktoren, Mack-Parameter und Bootstrap-Residuen selbst stark geschätzt. Das gilt besonders für ein zu Jahren verdichtetes Quartalsdreieck.</w:t>
      </w:r>
    </w:p>
    <w:p>
      <w:pPr>
        <w:pStyle w:val="ListParagraph"/>
        <w:numPr>
          <w:ilvl w:val="0"/>
          <w:numId w:val="2"/>
        </w:numPr>
        <w:spacing w:after="60" w:line="264"/>
      </w:pPr>
      <w:r>
        <w:rPr>
          <w:b/>
          <w:bCs/>
        </w:rPr>
        <w:t xml:space="preserve">Quartalsverdichtung:</w:t>
      </w:r>
      <w:r>
        <w:t xml:space="preserve"> Verwendet nur Stände zum Jahresende. Ist das Quartalsdreieck in der Abwicklung kürzer als nötig, wird für fehlende späte Abwicklungsquartale der letzte bekannte Wert übernommen (keine weitere Entwicklung). Saisonalität wird nicht gesondert modelliert.</w:t>
      </w:r>
    </w:p>
    <w:p>
      <w:pPr>
        <w:pStyle w:val="ListParagraph"/>
        <w:numPr>
          <w:ilvl w:val="0"/>
          <w:numId w:val="2"/>
        </w:numPr>
        <w:spacing w:after="60" w:line="264"/>
      </w:pPr>
      <w:r>
        <w:rPr>
          <w:b/>
          <w:bCs/>
        </w:rPr>
        <w:t xml:space="preserve">Sicherheitsniveau:</w:t>
      </w:r>
      <w:r>
        <w:t xml:space="preserve"> Beruht auf den Modellen von Mack (Lognormal-Annahme) und Bootstrap. Es beschreibt die Modellsicht der Unsicherheit, nicht die Wahrscheinlichkeit im strengen Sinn; Modellrisiko, Änderungsrisiko und Großschäden außerhalb der Daten sind nicht enthalten.</w:t>
      </w:r>
    </w:p>
    <w:p>
      <w:pPr>
        <w:pStyle w:val="ListParagraph"/>
        <w:numPr>
          <w:ilvl w:val="0"/>
          <w:numId w:val="2"/>
        </w:numPr>
        <w:spacing w:after="60" w:line="264"/>
      </w:pPr>
      <w:r>
        <w:rPr>
          <w:b/>
          <w:bCs/>
        </w:rPr>
        <w:t xml:space="preserve">Manuelle Reserve je Periode:</w:t>
      </w:r>
      <w:r>
        <w:t xml:space="preserve"> Das Tool prüft nur Anzahl und Zahlenformat, nicht die fachliche Basis. Paid/Incurred, Brutto/Netto und Bestand müssen zum Dreieck passen.</w:t>
      </w:r>
    </w:p>
    <w:p>
      <w:pPr>
        <w:pStyle w:val="Heading1"/>
        <w:pageBreakBefore/>
      </w:pPr>
      <w:r>
        <w:t xml:space="preserve">12  Nutzung ohne Oberfläche</w:t>
      </w:r>
    </w:p>
    <w:p>
      <w:pPr>
        <w:spacing w:after="120" w:line="276"/>
      </w:pPr>
      <w:r>
        <w:t xml:space="preserve">Die Rechenlogik in loss_reserving.R lässt sich auch ohne App verwenden, etwa für wiederkehrende Auswertungen oder zur Einbindung in eigene Skripte.</w:t>
      </w:r>
    </w:p>
    <w:p>
      <w:pPr>
        <w:pStyle w:val="Heading2"/>
      </w:pPr>
      <w:r>
        <w:t xml:space="preserve">12.1  Kommandozeile</w:t>
      </w:r>
    </w:p>
    <w:p>
      <w:pPr>
        <w:shd w:fill="F6F6F3" w:val="clear"/>
        <w:spacing w:after="0" w:before="80" w:line="264"/>
        <w:ind w:left="567"/>
        <w:jc w:val="left"/>
      </w:pPr>
      <w:r>
        <w:rPr>
          <w:rFonts w:ascii="Consolas" w:cs="Consolas" w:eastAsia="Consolas" w:hAnsi="Consolas"/>
          <w:sz w:val="18"/>
          <w:szCs w:val="18"/>
        </w:rPr>
        <w:t xml:space="preserve">Rscript loss_reserving.R --triangle dreieck.csv --premiums praemien.csv \</w:t>
      </w:r>
    </w:p>
    <w:p>
      <w:pPr>
        <w:shd w:fill="F6F6F3" w:val="clear"/>
        <w:spacing w:after="140" w:before="0" w:line="264"/>
        <w:ind w:left="567"/>
        <w:jc w:val="left"/>
      </w:pPr>
      <w:r>
        <w:rPr>
          <w:rFonts w:ascii="Consolas" w:cs="Consolas" w:eastAsia="Consolas" w:hAnsi="Consolas"/>
          <w:sz w:val="18"/>
          <w:szCs w:val="18"/>
        </w:rPr>
        <w:t xml:space="preserve">        --benchmark manuelle_reserve.csv --elr 0.65 --sep ";" --decimal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tblHeader/>
        </w:trPr>
        <w:tc>
          <w:tcPr>
            <w:tcW w:type="dxa" w:w="29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Option</w:t>
            </w:r>
          </w:p>
        </w:tc>
        <w:tc>
          <w:tcPr>
            <w:tcW w:type="dxa" w:w="67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Bedeutung</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--triangle datei</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Schadendreieck als CSV oder Excel. Ohne diese Option wird das Demo-Dreieck gerechnet.</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--premiums datei</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Prämien: Spalten Anfallperiode und Prämie.</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--benchmark datei</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Manuelle Reserve: Spalten Anfallperiode und Manuelle Reserve (Vorlage manuelle_reserve_vorlage.csv).</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--period auto|year|quarter</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Periodizität; Standard auto (automatische Erkennung).</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--to-years</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Quartale zu Jahren verdichten. Prämien und Benchmark dürfen dann je Quartal oder je Jahr in der Datei stehen; Quartalswerte werden aufsummiert.</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--elr 0.65</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A-priori-Schadenquote als Dezimalzahl. Ohne Angabe wird die Cape-Cod-Quote verwendet.</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--tail 1.0</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Tail-Faktor.</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--n-sims 5000</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Anzahl Bootstrap-Simulationen (0 = kein Bootstrap).</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--seed 42</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Zufallsstartwert.</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--sep, --decimal</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Trennzeichen und Dezimaltrennzeichen der CSV-Dateien, z. B. ";" und ",".</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--incremental</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Das Dreieck enthält inkrementelle Werte.</w:t>
            </w:r>
          </w:p>
        </w:tc>
      </w:tr>
      <w:tr>
        <w:trPr>
          <w:cantSplit/>
        </w:trPr>
        <w:tc>
          <w:tcPr>
            <w:tcW w:type="dxa" w:w="29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--output-dir ordner</w:t>
            </w:r>
          </w:p>
        </w:tc>
        <w:tc>
          <w:tcPr>
            <w:tcW w:type="dxa" w:w="67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Zielordner für die Excel-Datei reserving_ergebnisse.xlsx (Standard reserving_output).</w:t>
            </w:r>
          </w:p>
        </w:tc>
      </w:tr>
    </w:tbl>
    <w:p>
      <w:pPr>
        <w:spacing w:after="120"/>
      </w:pPr>
    </w:p>
    <w:p>
      <w:pPr>
        <w:spacing w:after="120" w:line="276"/>
      </w:pPr>
      <w:r>
        <w:t xml:space="preserve">Das Skript gibt Dreieck, Faktoren, Reserven, Ultimates und den Vergleich aller Verfahren im Terminal aus, mit Benchmark zusätzlich die Tabelle „Einordnung der manuellen Reserve“ und die Kurzaussagen. Alle Tabellen werden als Excel-Datei gespeichert.</w:t>
      </w:r>
    </w:p>
    <w:p>
      <w:pPr>
        <w:pStyle w:val="Heading2"/>
      </w:pPr>
      <w:r>
        <w:t xml:space="preserve">12.2  Als Bibliothek in R</w:t>
      </w:r>
    </w:p>
    <w:p>
      <w:pPr>
        <w:shd w:fill="F6F6F3" w:val="clear"/>
        <w:spacing w:after="0" w:before="80" w:line="264"/>
        <w:ind w:left="567"/>
        <w:jc w:val="left"/>
      </w:pPr>
      <w:r>
        <w:rPr>
          <w:rFonts w:ascii="Consolas" w:cs="Consolas" w:eastAsia="Consolas" w:hAnsi="Consolas"/>
          <w:sz w:val="18"/>
          <w:szCs w:val="18"/>
        </w:rPr>
        <w:t xml:space="preserve">source("loss_reserving.R")</w:t>
      </w:r>
    </w:p>
    <w:p>
      <w:pPr>
        <w:shd w:fill="F6F6F3" w:val="clear"/>
        <w:spacing w:after="0" w:before="0" w:line="264"/>
        <w:ind w:left="567"/>
        <w:jc w:val="left"/>
      </w:pPr>
      <w:r>
        <w:rPr>
          <w:rFonts w:ascii="Consolas" w:cs="Consolas" w:eastAsia="Consolas" w:hAnsi="Consolas"/>
          <w:sz w:val="18"/>
          <w:szCs w:val="18"/>
        </w:rPr>
        <w:t xml:space="preserve">tri  &lt;- read_triangle_file("dreieck.csv", sep = ";", decimal = ",")</w:t>
      </w:r>
    </w:p>
    <w:p>
      <w:pPr>
        <w:shd w:fill="F6F6F3" w:val="clear"/>
        <w:spacing w:after="0" w:before="0" w:line="264"/>
        <w:ind w:left="567"/>
        <w:jc w:val="left"/>
      </w:pPr>
      <w:r>
        <w:rPr>
          <w:rFonts w:ascii="Consolas" w:cs="Consolas" w:eastAsia="Consolas" w:hAnsi="Consolas"/>
          <w:sz w:val="18"/>
          <w:szCs w:val="18"/>
        </w:rPr>
        <w:t xml:space="preserve">prep &lt;- prepare_triangle(tri, period = "auto", to_years = FALSE)</w:t>
      </w:r>
    </w:p>
    <w:p>
      <w:pPr>
        <w:shd w:fill="F6F6F3" w:val="clear"/>
        <w:spacing w:after="0" w:before="0" w:line="264"/>
        <w:ind w:left="567"/>
        <w:jc w:val="left"/>
      </w:pPr>
      <w:r>
        <w:rPr>
          <w:rFonts w:ascii="Consolas" w:cs="Consolas" w:eastAsia="Consolas" w:hAnsi="Consolas"/>
          <w:sz w:val="18"/>
          <w:szCs w:val="18"/>
        </w:rPr>
        <w:t xml:space="preserve">man  &lt;- c(0, 200, 700, 1800, 2900, 4000, 6500, 11500, 15000, 20000)</w:t>
      </w:r>
    </w:p>
    <w:p>
      <w:pPr>
        <w:shd w:fill="F6F6F3" w:val="clear"/>
        <w:spacing w:after="0" w:before="0" w:line="264"/>
        <w:ind w:left="567"/>
        <w:jc w:val="left"/>
      </w:pPr>
      <w:r>
        <w:rPr>
          <w:rFonts w:ascii="Consolas" w:cs="Consolas" w:eastAsia="Consolas" w:hAnsi="Consolas"/>
          <w:sz w:val="18"/>
          <w:szCs w:val="18"/>
        </w:rPr>
        <w:t xml:space="preserve">r    &lt;- compute_all(prep$tri, premiums = praemien, elr = 0.65, benchmark = man)</w:t>
      </w:r>
    </w:p>
    <w:p>
      <w:pPr>
        <w:shd w:fill="F6F6F3" w:val="clear"/>
        <w:spacing w:after="0" w:before="0" w:line="264"/>
        <w:ind w:left="567"/>
        <w:jc w:val="left"/>
      </w:pPr>
      <w:r>
        <w:rPr>
          <w:rFonts w:ascii="Consolas" w:cs="Consolas" w:eastAsia="Consolas" w:hAnsi="Consolas"/>
          <w:sz w:val="18"/>
          <w:szCs w:val="18"/>
        </w:rPr>
        <w:t xml:space="preserve">r$comp; r$res_df; r$bench; benchmark_summary(r)</w:t>
      </w:r>
    </w:p>
    <w:p>
      <w:pPr>
        <w:shd w:fill="F6F6F3" w:val="clear"/>
        <w:spacing w:after="140" w:before="0" w:line="264"/>
        <w:ind w:left="567"/>
        <w:jc w:val="left"/>
      </w:pPr>
      <w:r>
        <w:rPr>
          <w:rFonts w:ascii="Consolas" w:cs="Consolas" w:eastAsia="Consolas" w:hAnsi="Consolas"/>
          <w:sz w:val="18"/>
          <w:szCs w:val="18"/>
        </w:rPr>
        <w:t xml:space="preserve">write_excel(r, "ergebnisse.xlsx")</w:t>
      </w:r>
    </w:p>
    <w:p>
      <w:pPr>
        <w:spacing w:after="120" w:line="276"/>
      </w:pPr>
      <w:r>
        <w:t xml:space="preserve">r$comp enthält den Vergleich der Gesamtreserven, r$res_df die Reserven je Anfallperiode, r$bench die Einordnung der manuellen Reserve und benchmark_summary(r) die Kurzaussagen als Text.</w:t>
      </w:r>
    </w:p>
    <w:p>
      <w:pPr>
        <w:pStyle w:val="Heading1"/>
        <w:pageBreakBefore/>
      </w:pPr>
      <w:r>
        <w:t xml:space="preserve">Anhang: Glossar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Begriff</w:t>
            </w:r>
          </w:p>
        </w:tc>
        <w:tc>
          <w:tcPr>
            <w:tcW w:type="dxa" w:w="7038"/>
            <w:tcBorders>
              <w:top w:val="single" w:color="D9D8D2" w:sz="4"/>
              <w:left w:val="single" w:color="D9D8D2" w:sz="4"/>
              <w:bottom w:val="single" w:color="D9D8D2" w:sz="4"/>
              <w:right w:val="single" w:color="D9D8D2" w:sz="4"/>
            </w:tcBorders>
            <w:shd w:fill="E8F0FB" w:val="clear"/>
            <w:tcMar>
              <w:top w:type="dxa" w:w="60"/>
              <w:left w:type="dxa" w:w="100"/>
              <w:bottom w:type="dxa" w:w="60"/>
              <w:right w:type="dxa" w:w="100"/>
            </w:tcMar>
            <w:vAlign w:val="top"/>
          </w:tcPr>
          <w:p>
            <w:pPr>
              <w:spacing w:after="20" w:line="252"/>
              <w:jc w:val="left"/>
            </w:pPr>
            <w:r>
              <w:rPr>
                <w:b/>
                <w:bCs/>
                <w:sz w:val="19"/>
                <w:szCs w:val="19"/>
              </w:rPr>
              <w:t xml:space="preserve">Erklärung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Anfallperiode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Anfalljahr oder Anfallquartal, in dem der Schaden eingetreten ist (auch Schadenjahr, Accident Year/Quarter).</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Abwicklungsperiode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Anzahl Jahre bzw. Quartale seit Beginn der Anfallperiode, in denen Zahlungen oder Meldungen beobachtet wurden. Periode 1 ist die Anfallperiode selbst.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Diagonale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Letzter bekannter Wert je Anfallperiode; die Summe ist der bisher bekannte Schaden.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Stichtag</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Datum des Datenstands; alle Werte einer Diagonale gehören zum selben Stichtag.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Verdichtung</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Zusammenfassen von vier Anfallquartalen zu einem Anfalljahr, jeweils zum Stand Jahresende.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Reserve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Geschätzter noch ausstehender Betrag bis zur vollständigen Abwicklung.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Ultimate / Endschaden</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Geschätzter Gesamtschaden nach vollständiger Abwicklung = Diagonale + Reserve.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Manuelle Reserve / Benchmark</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Eigene, außerhalb des Tools festgelegte Reserve, die mit allen Verfahren verglichen wird.</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Sicherheitsniveau</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Anteil der Szenarien (nach Mack oder Bootstrap), in denen die tatsächliche Reserve die manuelle Reserve nicht übersteigt.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Abwicklungsfaktor</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Verhältnis des kumulierten Schadens zweier aufeinanderfolgender Abwicklungsperioden.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CDF</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Cumulative Development Factor: Produkt aller künftigen Abwicklungsfaktoren inklusive Tail.</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Entwicklungsgrad</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Anteil des bekannten am erwarteten Endschaden = 1 / CDF.</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Tail-Faktor</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Faktor für die Abwicklung nach der letzten beobachteten Abwicklungsperiode.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A-priori-Schadenquote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Erwartete Endschadenquote vor Kenntnis der tatsächlichen Abwicklung.</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IBNR / IBNER</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Incurred But Not Reported (noch nicht gemeldete Schäden) / Incurred But Not Enough Reserved (Nachreservierung auf bekannte Schäden).</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Standardfehler (SE)</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Wurzel aus dem mittleren quadratischen Prognosefehler; typische Abweichung vom Schätzwert.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Variationskoeffizient (VK)</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Standardfehler geteilt durch die Reserve.</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Quantil</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Wert, der mit der angegebenen Wahrscheinlichkeit nicht überschritten wird.</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Median</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50 %-Quantil; bei rechtsschiefen Verteilungen kleiner als der Erwartungswert.</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Skalenparameter φ</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Streuungsparameter des ODP-Modells im Bootstrap.</w:t>
            </w:r>
          </w:p>
        </w:tc>
      </w:tr>
      <w:tr>
        <w:trPr>
          <w:cantSplit/>
        </w:trPr>
        <w:tc>
          <w:tcPr>
            <w:tcW w:type="dxa" w:w="2600"/>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b/>
                <w:bCs/>
                <w:sz w:val="19"/>
                <w:szCs w:val="19"/>
              </w:rPr>
              <w:t xml:space="preserve">Prozess- / Schätzfehler</w:t>
            </w:r>
          </w:p>
        </w:tc>
        <w:tc>
          <w:tcPr>
            <w:tcW w:type="dxa" w:w="7038"/>
            <w:tcBorders>
              <w:top w:val="single" w:color="D9D8D2" w:sz="4"/>
              <w:left w:val="single" w:color="D9D8D2" w:sz="4"/>
              <w:bottom w:val="single" w:color="D9D8D2" w:sz="4"/>
              <w:right w:val="single" w:color="D9D8D2" w:sz="4"/>
            </w:tcBorders>
            <w:tcMar>
              <w:top w:type="dxa" w:w="60"/>
              <w:left w:type="dxa" w:w="100"/>
              <w:bottom w:type="dxa" w:w="60"/>
              <w:right w:type="dxa" w:w="100"/>
            </w:tcMar>
            <w:vAlign w:val="top"/>
          </w:tcPr>
          <w:p>
            <w:pPr>
              <w:spacing w:after="20" w:line="252"/>
              <w:jc w:val="left"/>
            </w:pPr>
            <w:r>
              <w:rPr>
                <w:sz w:val="19"/>
                <w:szCs w:val="19"/>
              </w:rPr>
              <w:t xml:space="preserve">Zufällige Schwankung der künftigen Zahlungen / Unsicherheit der geschätzten Modellparameter.</w:t>
            </w:r>
          </w:p>
        </w:tc>
      </w:tr>
    </w:tbl>
    <w:p>
      <w:pPr>
        <w:spacing w:after="120"/>
      </w:pPr>
    </w:p>
    <w:p>
      <w:pPr>
        <w:pStyle w:val="Heading2"/>
      </w:pPr>
      <w:r>
        <w:t xml:space="preserve">Literatur</w:t>
      </w:r>
    </w:p>
    <w:p>
      <w:pPr>
        <w:pStyle w:val="ListParagraph"/>
        <w:numPr>
          <w:ilvl w:val="0"/>
          <w:numId w:val="2"/>
        </w:numPr>
        <w:spacing w:after="60" w:line="264"/>
      </w:pPr>
      <w:r>
        <w:t xml:space="preserve">Mack, T. (1993): Distribution-free calculation of the standard error of chain ladder reserve estimates. ASTIN Bulletin 23(2).</w:t>
      </w:r>
    </w:p>
    <w:p>
      <w:pPr>
        <w:pStyle w:val="ListParagraph"/>
        <w:numPr>
          <w:ilvl w:val="0"/>
          <w:numId w:val="2"/>
        </w:numPr>
        <w:spacing w:after="60" w:line="264"/>
      </w:pPr>
      <w:r>
        <w:t xml:space="preserve">Bornhuetter, R. L.; Ferguson, R. E. (1972): The Actuary and IBNR. Proceedings of the Casualty Actuarial Society.</w:t>
      </w:r>
    </w:p>
    <w:p>
      <w:pPr>
        <w:pStyle w:val="ListParagraph"/>
        <w:numPr>
          <w:ilvl w:val="0"/>
          <w:numId w:val="2"/>
        </w:numPr>
        <w:spacing w:after="60" w:line="264"/>
      </w:pPr>
      <w:r>
        <w:t xml:space="preserve">Stanard, J. N. (1985): A simulation test of prediction errors of loss reserve estimation techniques (Cape Cod). PCAS.</w:t>
      </w:r>
    </w:p>
    <w:p>
      <w:pPr>
        <w:pStyle w:val="ListParagraph"/>
        <w:numPr>
          <w:ilvl w:val="0"/>
          <w:numId w:val="2"/>
        </w:numPr>
        <w:spacing w:after="60" w:line="264"/>
      </w:pPr>
      <w:r>
        <w:t xml:space="preserve">England, P. D.; Verrall, R. J. (2002): Stochastic claims reserving in general insurance. British Actuarial Journal 8(3).</w:t>
      </w:r>
    </w:p>
    <w:p>
      <w:pPr>
        <w:pStyle w:val="ListParagraph"/>
        <w:numPr>
          <w:ilvl w:val="0"/>
          <w:numId w:val="2"/>
        </w:numPr>
        <w:spacing w:after="60" w:line="264"/>
      </w:pPr>
      <w:r>
        <w:t xml:space="preserve">Merz, M.; Wüthrich, M. V. (2008): Modelling the claims development result for solvency purposes. CAS E-Forum.</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781"/>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8D2" w:sz="4" w:space="4"/>
      </w:pBdr>
      <w:jc w:val="right"/>
    </w:pPr>
    <w:r>
      <w:rPr>
        <w:color w:val="898781"/>
        <w:sz w:val="16"/>
        <w:szCs w:val="16"/>
      </w:rPr>
      <w:t xml:space="preserve">Loss Reserving – Benutzerhandbuch (R-Version)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2A78D6"/>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0B0B0B"/>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251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879cf9b80f1a6141ea5839e490d5ad88c04c112.png"/><Relationship Id="rId12" Type="http://schemas.openxmlformats.org/officeDocument/2006/relationships/image" Target="media/e4b64dd1b193b179d9f90818c63c085063b25556.png"/><Relationship Id="rId13" Type="http://schemas.openxmlformats.org/officeDocument/2006/relationships/image" Target="media/372e1f0bbfb5c50a1023a0ef2f0903a1262551a4.png"/><Relationship Id="rId14" Type="http://schemas.openxmlformats.org/officeDocument/2006/relationships/image" Target="media/41a7df00b9e6a2c22589b7b5077e64c3c0a5e787.png"/><Relationship Id="rId15" Type="http://schemas.openxmlformats.org/officeDocument/2006/relationships/image" Target="media/4302e3f852e6e765ba05d4803c88a1734b8619ac.png"/><Relationship Id="rId16" Type="http://schemas.openxmlformats.org/officeDocument/2006/relationships/image" Target="media/fc7b144db94845c18fe18edb4ffea13a3dbeaf7d.png"/><Relationship Id="rId17" Type="http://schemas.openxmlformats.org/officeDocument/2006/relationships/image" Target="media/5c80daab47cdf01eed65e0098110c49c18dbfdde.png"/><Relationship Id="rId18" Type="http://schemas.openxmlformats.org/officeDocument/2006/relationships/image" Target="media/4f4c59abdcdd9cdf78298fe5d9400cbec1adcb7c.png"/><Relationship Id="rId19" Type="http://schemas.openxmlformats.org/officeDocument/2006/relationships/image" Target="media/49f8b21c66efc0837d692127fc4fcf2966e21402.png"/><Relationship Id="rId20" Type="http://schemas.openxmlformats.org/officeDocument/2006/relationships/image" Target="media/e50bf2eb55f99ddbf7b01dacf542b25fea606fcd.png"/><Relationship Id="rId21" Type="http://schemas.openxmlformats.org/officeDocument/2006/relationships/image" Target="media/32b8d604ef64a71cdaa985b571f3153889a00394.png"/><Relationship Id="rId22" Type="http://schemas.openxmlformats.org/officeDocument/2006/relationships/image" Target="media/1eca5d7c3bd2276788988e561f24108968da864f.png"/><Relationship Id="rId23" Type="http://schemas.openxmlformats.org/officeDocument/2006/relationships/image" Target="media/26c9af47cdd1ea3f4ffecec3fd3992b950b9c932.png"/><Relationship Id="rId24" Type="http://schemas.openxmlformats.org/officeDocument/2006/relationships/image" Target="media/fc239040084e8fe054767d5a25ff85eb29bc7b50.png"/><Relationship Id="rId25" Type="http://schemas.openxmlformats.org/officeDocument/2006/relationships/image" Target="media/9b45dc24bcb6690eab78ecba31bdff82b33d6018.png"/><Relationship Id="rId26" Type="http://schemas.openxmlformats.org/officeDocument/2006/relationships/image" Target="media/1d6b216089ec4a01cf872b2cfa5147c436fd0068.png"/><Relationship Id="rId27" Type="http://schemas.openxmlformats.org/officeDocument/2006/relationships/image" Target="media/69e069ce5f040010f24abd3f2693ab656cf2b0f8.png"/><Relationship Id="rId28" Type="http://schemas.openxmlformats.org/officeDocument/2006/relationships/image" Target="media/2257ee37d6622e51e4821f4e8b6f80ea134974b9.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Loss Reserving – Benutzerhandbuch (R)</dc:title>
  <dc:creator>Loss Reserving Tool</dc:creator>
  <dc:description>Bedienung und Interpretation der R-Version des Loss-Reserving-Tools</dc:description>
  <cp:lastModifiedBy>Un-named</cp:lastModifiedBy>
  <cp:revision>1</cp:revision>
  <dcterms:created xsi:type="dcterms:W3CDTF">2026-09-23T16:27:21.319Z</dcterms:created>
  <dcterms:modified xsi:type="dcterms:W3CDTF">2026-09-23T16:27:21.320Z</dcterms:modified>
</cp:coreProperties>
</file>

<file path=docProps/custom.xml><?xml version="1.0" encoding="utf-8"?>
<Properties xmlns="http://schemas.openxmlformats.org/officeDocument/2006/custom-properties" xmlns:vt="http://schemas.openxmlformats.org/officeDocument/2006/docPropsVTypes"/>
</file>