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Consequences: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Results Based on Seriousness: The repercussions for not following the rules are contingent upon the seriousness of the transgression. Essentially, the severity of the consequences aligns with the gravity of the issue at hand. This approach ensures a fair and proportional response to rule violations, emphasizing the importance of context in determining appropriate actions.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Small Mistakes: In instances of minor errors, the corrective action involves issuing a warning. This serves as a constructive measure aimed at fostering a learning environment. Individuals who make small mistakes receive guidance to help them understand and rectify their errors, facilitating continuous improvement and skill development.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Moderate Mistakes: For medium-sized mistakes, a structured approach is implemented – the three-strikes rule. If an individual repeats the same mistake three times, a thorough evaluation ensues. This evaluation involves a discussion on whether the person should continue participating in the project. The objective is to ensure a cohesive and functional team, where repeated medium mistakes prompt a thoughtful reconsideration of a team member's fit within the project.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Big Mistakes: Significant errors with the potential to cause substantial problems are treated with zero tolerance. In the case of substantial blunders, serious actions are taken. This firm stance is adopted because significant mistakes can have profound implications for the team. Swift and decisive measures are necessary to mitigate harm and uphold the overall integrity and progress of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Collaboration Outside Mandatory Meetings: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Before Meetings: Before our required meetings, team members talk separately to plan what they want to discuss. This helps us be ready and organized for the main meeting.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Weekly Coding Talks: We have regular meetings to discuss our coding work every week. We talk about the tasks we need to do, who is responsible for what (Assignees), and other important things. This helps us keep track of our progress.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 We Talk: We mostly use WhatsApp to talk to each other. It's easy to use, and everyone can access it. We might try other ways of talking in the future as our app development goes 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Urgent Meetings: If something really urgent comes up, we have a plan for quick meetings to solve the problem. This helps us handle important issues right away and keeps our work moving smoothly.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