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865B31"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m:t>
          </m:r>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865B31"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865B31"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m:t>
                  </m:r>
                  <m:r>
                    <w:rPr>
                      <w:rFonts w:ascii="Cambria Math" w:eastAsiaTheme="minorEastAsia" w:hAnsi="Cambria Math"/>
                    </w:rPr>
                    <m:t>,</m:t>
                  </m:r>
                  <m:r>
                    <w:rPr>
                      <w:rFonts w:ascii="Cambria Math" w:eastAsiaTheme="minorEastAsia" w:hAnsi="Cambria Math"/>
                    </w:rPr>
                    <m:t>action</m:t>
                  </m:r>
                </m:e>
              </m:d>
              <m:r>
                <w:rPr>
                  <w:rFonts w:ascii="Cambria Math" w:eastAsiaTheme="minorEastAsia" w:hAnsi="Cambria Math"/>
                </w:rPr>
                <m:t>:  (2</m:t>
              </m:r>
              <m:r>
                <w:rPr>
                  <w:rFonts w:ascii="Cambria Math" w:eastAsiaTheme="minorEastAsia" w:hAnsi="Cambria Math"/>
                </w:rPr>
                <m:t>,right</m:t>
              </m:r>
              <m:r>
                <w:rPr>
                  <w:rFonts w:ascii="Cambria Math" w:eastAsiaTheme="minorEastAsia" w:hAnsi="Cambria Math"/>
                </w:rPr>
                <m:t>)</m:t>
              </m:r>
              <m:r>
                <w:rPr>
                  <w:rFonts w:ascii="Cambria Math" w:eastAsiaTheme="minorEastAsia" w:hAnsi="Cambria Math"/>
                </w:rPr>
                <m:t xml:space="preserve"> &amp; </m:t>
              </m:r>
              <m:r>
                <w:rPr>
                  <w:rFonts w:ascii="Cambria Math" w:eastAsiaTheme="minorEastAsia" w:hAnsi="Cambria Math"/>
                </w:rPr>
                <m:t>(3</m:t>
              </m:r>
              <m:r>
                <w:rPr>
                  <w:rFonts w:ascii="Cambria Math" w:eastAsiaTheme="minorEastAsia" w:hAnsi="Cambria Math"/>
                </w:rPr>
                <m:t>,left</m:t>
              </m:r>
              <m:r>
                <w:rPr>
                  <w:rFonts w:ascii="Cambria Math" w:eastAsiaTheme="minorEastAsia" w:hAnsi="Cambria Math"/>
                </w:rPr>
                <m: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xml:space="preserve">: </m:t>
              </m:r>
              <m:r>
                <w:rPr>
                  <w:rFonts w:ascii="Cambria Math" w:eastAsiaTheme="minorEastAsia" w:hAnsi="Cambria Math"/>
                </w:rPr>
                <m:t xml:space="preserve"> (3</m:t>
              </m:r>
              <m:r>
                <w:rPr>
                  <w:rFonts w:ascii="Cambria Math" w:eastAsiaTheme="minorEastAsia" w:hAnsi="Cambria Math"/>
                </w:rPr>
                <m:t>,right</m:t>
              </m:r>
              <m:r>
                <w:rPr>
                  <w:rFonts w:ascii="Cambria Math" w:eastAsiaTheme="minorEastAsia" w:hAnsi="Cambria Math"/>
                </w:rPr>
                <m:t>)</m:t>
              </m:r>
              <m:r>
                <w:rPr>
                  <w:rFonts w:ascii="Cambria Math" w:eastAsiaTheme="minorEastAsia" w:hAnsi="Cambria Math"/>
                </w:rPr>
                <m:t xml:space="preserve"> &amp; </m:t>
              </m:r>
              <m:r>
                <w:rPr>
                  <w:rFonts w:ascii="Cambria Math" w:eastAsiaTheme="minorEastAsia" w:hAnsi="Cambria Math"/>
                </w:rPr>
                <m:t>(4</m:t>
              </m:r>
              <m:r>
                <w:rPr>
                  <w:rFonts w:ascii="Cambria Math" w:eastAsiaTheme="minorEastAsia" w:hAnsi="Cambria Math"/>
                </w:rPr>
                <m:t>,left</m:t>
              </m:r>
              <m:r>
                <w:rPr>
                  <w:rFonts w:ascii="Cambria Math" w:eastAsiaTheme="minorEastAsia" w:hAnsi="Cambria Math"/>
                </w:rPr>
                <m:t>)</m:t>
              </m:r>
            </m:lim>
          </m:limLow>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m:t>
              </m:r>
              <m:r>
                <w:rPr>
                  <w:rFonts w:ascii="Cambria Math" w:eastAsiaTheme="minorEastAsia" w:hAnsi="Cambria Math"/>
                </w:rPr>
                <m:t xml:space="preserve">  (n-1</m:t>
              </m:r>
              <m:r>
                <w:rPr>
                  <w:rFonts w:ascii="Cambria Math" w:eastAsiaTheme="minorEastAsia" w:hAnsi="Cambria Math"/>
                </w:rPr>
                <m:t>,right</m:t>
              </m:r>
              <m:r>
                <w:rPr>
                  <w:rFonts w:ascii="Cambria Math" w:eastAsiaTheme="minorEastAsia" w:hAnsi="Cambria Math"/>
                </w:rPr>
                <m:t>)</m:t>
              </m:r>
              <m:r>
                <w:rPr>
                  <w:rFonts w:ascii="Cambria Math" w:eastAsiaTheme="minorEastAsia" w:hAnsi="Cambria Math"/>
                </w:rPr>
                <m:t xml:space="preserve"> &amp; </m:t>
              </m:r>
              <m:r>
                <w:rPr>
                  <w:rFonts w:ascii="Cambria Math" w:eastAsiaTheme="minorEastAsia" w:hAnsi="Cambria Math"/>
                </w:rPr>
                <m:t>(n</m:t>
              </m:r>
              <m:r>
                <w:rPr>
                  <w:rFonts w:ascii="Cambria Math" w:eastAsiaTheme="minorEastAsia" w:hAnsi="Cambria Math"/>
                </w:rPr>
                <m:t>,left</m:t>
              </m:r>
              <m:r>
                <w:rPr>
                  <w:rFonts w:ascii="Cambria Math" w:eastAsiaTheme="minorEastAsia" w:hAnsi="Cambria Math"/>
                </w:rPr>
                <m: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m:t>
        </m:r>
        <m:r>
          <w:rPr>
            <w:rFonts w:ascii="Cambria Math" w:eastAsiaTheme="minorEastAsia" w:hAnsi="Cambria Math"/>
            <w:sz w:val="24"/>
            <w:szCs w:val="24"/>
          </w:rPr>
          <m:t>→</m:t>
        </m:r>
        <m:r>
          <w:rPr>
            <w:rFonts w:ascii="Cambria Math" w:eastAsiaTheme="minorEastAsia" w:hAnsi="Cambria Math"/>
            <w:sz w:val="24"/>
            <w:szCs w:val="24"/>
          </w:rPr>
          <m:t xml:space="preserve">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m:t>
              </m:r>
              <m:r>
                <w:rPr>
                  <w:rFonts w:ascii="Cambria Math" w:eastAsiaTheme="minorEastAsia" w:hAnsi="Cambria Math"/>
                  <w:sz w:val="20"/>
                  <w:szCs w:val="20"/>
                </w:rPr>
                <m:t>…</m:t>
              </m:r>
              <m:r>
                <w:rPr>
                  <w:rFonts w:ascii="Cambria Math" w:eastAsiaTheme="minorEastAsia" w:hAnsi="Cambria Math"/>
                  <w:sz w:val="20"/>
                  <w:szCs w:val="20"/>
                </w:rPr>
                <m:t>&amp;(</m:t>
              </m:r>
              <m:r>
                <w:rPr>
                  <w:rFonts w:ascii="Cambria Math" w:eastAsiaTheme="minorEastAsia" w:hAnsi="Cambria Math"/>
                  <w:sz w:val="20"/>
                  <w:szCs w:val="20"/>
                </w:rPr>
                <m:t>n-1</m:t>
              </m:r>
              <m:r>
                <w:rPr>
                  <w:rFonts w:ascii="Cambria Math" w:eastAsiaTheme="minorEastAsia" w:hAnsi="Cambria Math"/>
                  <w:sz w:val="20"/>
                  <w:szCs w:val="20"/>
                </w:rPr>
                <m:t>,right)&amp;(</m:t>
              </m:r>
              <m:r>
                <w:rPr>
                  <w:rFonts w:ascii="Cambria Math" w:eastAsiaTheme="minorEastAsia" w:hAnsi="Cambria Math"/>
                  <w:sz w:val="20"/>
                  <w:szCs w:val="20"/>
                </w:rPr>
                <m:t>n</m:t>
              </m:r>
              <m:r>
                <w:rPr>
                  <w:rFonts w:ascii="Cambria Math" w:eastAsiaTheme="minorEastAsia" w:hAnsi="Cambria Math"/>
                  <w:sz w:val="20"/>
                  <w:szCs w:val="20"/>
                </w:rPr>
                <m:t>,</m:t>
              </m:r>
              <m:r>
                <w:rPr>
                  <w:rFonts w:ascii="Cambria Math" w:eastAsiaTheme="minorEastAsia" w:hAnsi="Cambria Math"/>
                  <w:sz w:val="20"/>
                  <w:szCs w:val="20"/>
                </w:rPr>
                <m:t>left</m:t>
              </m:r>
              <m:r>
                <w:rPr>
                  <w:rFonts w:ascii="Cambria Math" w:eastAsiaTheme="minorEastAsia" w:hAnsi="Cambria Math"/>
                  <w:sz w:val="20"/>
                  <w:szCs w:val="20"/>
                </w:rPr>
                <m: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m:t>
              </m:r>
              <m:r>
                <w:rPr>
                  <w:rFonts w:ascii="Cambria Math" w:eastAsiaTheme="minorEastAsia" w:hAnsi="Cambria Math"/>
                  <w:sz w:val="20"/>
                  <w:szCs w:val="20"/>
                </w:rPr>
                <m:t>left</m:t>
              </m:r>
              <m:r>
                <w:rPr>
                  <w:rFonts w:ascii="Cambria Math" w:eastAsiaTheme="minorEastAsia" w:hAnsi="Cambria Math"/>
                  <w:sz w:val="20"/>
                  <w:szCs w:val="20"/>
                </w:rPr>
                <m: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m:t>
              </m:r>
              <m:r>
                <w:rPr>
                  <w:rFonts w:ascii="Cambria Math" w:eastAsiaTheme="minorEastAsia" w:hAnsi="Cambria Math"/>
                  <w:sz w:val="20"/>
                  <w:szCs w:val="20"/>
                </w:rPr>
                <m:t>3</m:t>
              </m:r>
              <m:r>
                <w:rPr>
                  <w:rFonts w:ascii="Cambria Math" w:eastAsiaTheme="minorEastAsia" w:hAnsi="Cambria Math"/>
                  <w:sz w:val="20"/>
                  <w:szCs w:val="20"/>
                </w:rPr>
                <m:t>,left)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m:t>
              </m:r>
              <m:r>
                <w:rPr>
                  <w:rFonts w:ascii="Cambria Math" w:eastAsiaTheme="minorEastAsia" w:hAnsi="Cambria Math"/>
                  <w:sz w:val="20"/>
                  <w:szCs w:val="20"/>
                </w:rPr>
                <m:t>n-1,</m:t>
              </m:r>
              <m:r>
                <w:rPr>
                  <w:rFonts w:ascii="Cambria Math" w:eastAsiaTheme="minorEastAsia" w:hAnsi="Cambria Math"/>
                  <w:sz w:val="20"/>
                  <w:szCs w:val="20"/>
                </w:rPr>
                <m:t>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865B31"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m:t>
          </m:r>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proofErr w:type="spellStart"/>
      <w:r w:rsidR="008F0401">
        <w:rPr>
          <w:rFonts w:eastAsiaTheme="minorEastAsia"/>
          <w:sz w:val="24"/>
          <w:szCs w:val="24"/>
        </w:rPr>
        <w:t>e</w:t>
      </w:r>
      <w:proofErr w:type="spellEnd"/>
      <w:r w:rsidR="008F0401">
        <w:rPr>
          <w:rFonts w:eastAsiaTheme="minorEastAsia"/>
          <w:sz w:val="24"/>
          <w:szCs w:val="24"/>
        </w:rPr>
        <w:t xml:space="preserv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m:t>
          </m:r>
          <m:r>
            <w:rPr>
              <w:rFonts w:ascii="Cambria Math" w:hAnsi="Cambria Math"/>
            </w:rPr>
            <m:t>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865B31"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865B31"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w:t>
      </w:r>
      <w:bookmarkStart w:id="2" w:name="_GoBack"/>
      <w:bookmarkEnd w:id="2"/>
      <w:r w:rsidR="009A3657">
        <w:rPr>
          <w:rFonts w:eastAsiaTheme="minorEastAsia"/>
          <w:sz w:val="24"/>
          <w:szCs w:val="24"/>
        </w:rPr>
        <w:t>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865B31"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F47D" w14:textId="77777777" w:rsidR="002B3AD8" w:rsidRDefault="002B3AD8" w:rsidP="00F61056">
      <w:pPr>
        <w:spacing w:after="0" w:line="240" w:lineRule="auto"/>
      </w:pPr>
      <w:r>
        <w:separator/>
      </w:r>
    </w:p>
  </w:endnote>
  <w:endnote w:type="continuationSeparator" w:id="0">
    <w:p w14:paraId="20F7B331" w14:textId="77777777" w:rsidR="002B3AD8" w:rsidRDefault="002B3AD8"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0E466" w14:textId="77777777" w:rsidR="002B3AD8" w:rsidRDefault="002B3AD8" w:rsidP="00F61056">
      <w:pPr>
        <w:spacing w:after="0" w:line="240" w:lineRule="auto"/>
      </w:pPr>
      <w:r>
        <w:separator/>
      </w:r>
    </w:p>
  </w:footnote>
  <w:footnote w:type="continuationSeparator" w:id="0">
    <w:p w14:paraId="0079AD78" w14:textId="77777777" w:rsidR="002B3AD8" w:rsidRDefault="002B3AD8"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3F7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3AD8"/>
    <w:rsid w:val="002B67C8"/>
    <w:rsid w:val="002C0FEF"/>
    <w:rsid w:val="002C1B30"/>
    <w:rsid w:val="002C6CDA"/>
    <w:rsid w:val="002D47AB"/>
    <w:rsid w:val="002E0EF8"/>
    <w:rsid w:val="002E42A3"/>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D4065"/>
    <w:rsid w:val="008D74E3"/>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62E1"/>
    <w:rsid w:val="00FB18AD"/>
    <w:rsid w:val="00FC05A2"/>
    <w:rsid w:val="00FC2FF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D8153B5B-41C7-40D1-8747-9B93F482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2</cp:revision>
  <cp:lastPrinted>2020-05-18T08:47:00Z</cp:lastPrinted>
  <dcterms:created xsi:type="dcterms:W3CDTF">2020-05-29T11:40:00Z</dcterms:created>
  <dcterms:modified xsi:type="dcterms:W3CDTF">2020-05-29T11:40:00Z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