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0B50" w14:textId="77777777" w:rsidR="00606FFE" w:rsidRDefault="00606FFE" w:rsidP="00606FFE">
      <w:pPr>
        <w:pStyle w:val="PaperHeader"/>
      </w:pPr>
    </w:p>
    <w:p w14:paraId="18E8ABF2" w14:textId="77777777" w:rsidR="00606FFE" w:rsidRPr="00E438AA" w:rsidRDefault="00606FFE" w:rsidP="001D26F8">
      <w:pPr>
        <w:pStyle w:val="PaperHeader"/>
        <w:ind w:left="7200" w:firstLine="720"/>
        <w:jc w:val="center"/>
      </w:pPr>
      <w:r>
        <w:t xml:space="preserve">Proceedings of </w:t>
      </w:r>
      <w:r w:rsidR="001D26F8">
        <w:t>IMEC 2019</w:t>
      </w:r>
    </w:p>
    <w:p w14:paraId="31191903"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2AE1677A"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244B6F91" w14:textId="77777777" w:rsidR="00606FFE" w:rsidRDefault="00606FFE" w:rsidP="00606FFE">
      <w:pPr>
        <w:pStyle w:val="PaperNumber"/>
      </w:pPr>
      <w:r>
        <w:t>I</w:t>
      </w:r>
      <w:r w:rsidRPr="00E438AA">
        <w:t>M</w:t>
      </w:r>
      <w:r w:rsidR="001D26F8">
        <w:t>E</w:t>
      </w:r>
      <w:r w:rsidRPr="00E438AA">
        <w:t>C</w:t>
      </w:r>
      <w:r>
        <w:t>2019-xx-x</w:t>
      </w:r>
      <w:r w:rsidRPr="00E438AA">
        <w:t>xxx</w:t>
      </w:r>
    </w:p>
    <w:p w14:paraId="7D03C2A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144F4442" w14:textId="77777777" w:rsidR="00606FFE" w:rsidRDefault="000F1C41" w:rsidP="00A76B86">
      <w:pPr>
        <w:pStyle w:val="Papertitle"/>
        <w:spacing w:after="0" w:line="240" w:lineRule="auto"/>
        <w:jc w:val="center"/>
        <w:rPr>
          <w:rFonts w:ascii="Arial" w:hAnsi="Arial" w:cs="Arial"/>
          <w:b/>
        </w:rPr>
      </w:pPr>
      <w:r>
        <w:rPr>
          <w:rFonts w:ascii="Arial" w:hAnsi="Arial" w:cs="Arial"/>
          <w:b/>
        </w:rPr>
        <w:t>Title</w:t>
      </w:r>
    </w:p>
    <w:p w14:paraId="3FFA4575" w14:textId="77777777" w:rsidR="00606FFE" w:rsidRDefault="00606FFE" w:rsidP="00606FFE">
      <w:pPr>
        <w:jc w:val="center"/>
        <w:rPr>
          <w:lang w:val="en-US"/>
        </w:rPr>
      </w:pPr>
    </w:p>
    <w:p w14:paraId="7F477D28" w14:textId="77777777" w:rsidR="00A76B86" w:rsidRPr="00A76B86" w:rsidRDefault="000F1C41" w:rsidP="00A76B86">
      <w:pPr>
        <w:jc w:val="center"/>
        <w:rPr>
          <w:rFonts w:ascii="Arial" w:hAnsi="Arial" w:cs="Arial"/>
          <w:sz w:val="20"/>
          <w:szCs w:val="20"/>
        </w:rPr>
      </w:pPr>
      <w:r>
        <w:rPr>
          <w:rFonts w:ascii="Arial" w:hAnsi="Arial" w:cs="Arial"/>
          <w:sz w:val="20"/>
          <w:szCs w:val="20"/>
        </w:rPr>
        <w:t>Author1</w:t>
      </w:r>
      <w:r w:rsidR="00A76B86">
        <w:rPr>
          <w:rFonts w:ascii="Arial" w:hAnsi="Arial" w:cs="Arial"/>
          <w:sz w:val="20"/>
          <w:szCs w:val="20"/>
          <w:vertAlign w:val="superscript"/>
        </w:rPr>
        <w:t>a</w:t>
      </w:r>
      <w:r w:rsidR="007375DF">
        <w:rPr>
          <w:rFonts w:ascii="Arial" w:hAnsi="Arial" w:cs="Arial"/>
          <w:sz w:val="20"/>
          <w:szCs w:val="20"/>
          <w:vertAlign w:val="superscript"/>
        </w:rPr>
        <w:t>*</w:t>
      </w:r>
      <w:r w:rsidR="00A76B86" w:rsidRPr="00A76B86">
        <w:rPr>
          <w:rFonts w:ascii="Arial" w:hAnsi="Arial" w:cs="Arial"/>
          <w:sz w:val="20"/>
          <w:szCs w:val="20"/>
        </w:rPr>
        <w:t xml:space="preserve">, </w:t>
      </w:r>
      <w:r>
        <w:rPr>
          <w:rFonts w:ascii="Arial" w:hAnsi="Arial" w:cs="Arial"/>
          <w:sz w:val="20"/>
          <w:szCs w:val="20"/>
        </w:rPr>
        <w:t>Author2</w:t>
      </w:r>
      <w:r w:rsidR="00A76B86">
        <w:rPr>
          <w:rFonts w:ascii="Arial" w:hAnsi="Arial" w:cs="Arial"/>
          <w:sz w:val="20"/>
          <w:szCs w:val="20"/>
          <w:vertAlign w:val="superscript"/>
        </w:rPr>
        <w:t>b</w:t>
      </w:r>
      <w:r w:rsidR="00A76B86" w:rsidRPr="00A76B86">
        <w:rPr>
          <w:rFonts w:ascii="Arial" w:hAnsi="Arial" w:cs="Arial"/>
          <w:sz w:val="20"/>
          <w:szCs w:val="20"/>
        </w:rPr>
        <w:t>,</w:t>
      </w:r>
    </w:p>
    <w:p w14:paraId="749957B2" w14:textId="77777777" w:rsidR="00606FFE" w:rsidRDefault="00606FFE" w:rsidP="00606FFE">
      <w:pPr>
        <w:spacing w:after="0" w:line="240" w:lineRule="auto"/>
        <w:jc w:val="center"/>
        <w:rPr>
          <w:rFonts w:ascii="Arial" w:hAnsi="Arial" w:cs="Arial"/>
          <w:sz w:val="20"/>
          <w:szCs w:val="20"/>
        </w:rPr>
      </w:pPr>
      <w:r w:rsidRPr="00C77773">
        <w:rPr>
          <w:rFonts w:ascii="Arial" w:hAnsi="Arial" w:cs="Arial"/>
          <w:sz w:val="20"/>
          <w:szCs w:val="20"/>
          <w:vertAlign w:val="superscript"/>
        </w:rPr>
        <w:t>a</w:t>
      </w:r>
      <w:r>
        <w:rPr>
          <w:rFonts w:ascii="Arial" w:hAnsi="Arial" w:cs="Arial"/>
          <w:sz w:val="20"/>
          <w:szCs w:val="20"/>
        </w:rPr>
        <w:t xml:space="preserve"> </w:t>
      </w:r>
      <w:r w:rsidR="00A76B86">
        <w:rPr>
          <w:rFonts w:ascii="Arial" w:hAnsi="Arial" w:cs="Arial"/>
          <w:sz w:val="20"/>
          <w:szCs w:val="20"/>
        </w:rPr>
        <w:t>Department of Mechanical Engineering</w:t>
      </w:r>
      <w:r>
        <w:rPr>
          <w:rFonts w:ascii="Arial" w:hAnsi="Arial" w:cs="Arial"/>
          <w:sz w:val="20"/>
          <w:szCs w:val="20"/>
        </w:rPr>
        <w:t xml:space="preserve">, </w:t>
      </w:r>
      <w:r w:rsidR="00A76B86">
        <w:rPr>
          <w:rFonts w:ascii="Arial" w:hAnsi="Arial" w:cs="Arial"/>
          <w:sz w:val="20"/>
          <w:szCs w:val="20"/>
        </w:rPr>
        <w:t>N</w:t>
      </w:r>
      <w:r>
        <w:rPr>
          <w:rFonts w:ascii="Arial" w:hAnsi="Arial" w:cs="Arial"/>
          <w:sz w:val="20"/>
          <w:szCs w:val="20"/>
        </w:rPr>
        <w:t xml:space="preserve">IT </w:t>
      </w:r>
      <w:r w:rsidR="00A76B86">
        <w:rPr>
          <w:rFonts w:ascii="Arial" w:hAnsi="Arial" w:cs="Arial"/>
          <w:sz w:val="20"/>
          <w:szCs w:val="20"/>
        </w:rPr>
        <w:t>Trichy</w:t>
      </w:r>
    </w:p>
    <w:p w14:paraId="39C644B8" w14:textId="77777777" w:rsidR="00606FFE" w:rsidRDefault="00606FFE" w:rsidP="00606FFE">
      <w:pPr>
        <w:spacing w:after="0" w:line="240" w:lineRule="auto"/>
        <w:jc w:val="center"/>
        <w:rPr>
          <w:rFonts w:ascii="Arial" w:hAnsi="Arial" w:cs="Arial"/>
          <w:sz w:val="20"/>
          <w:szCs w:val="20"/>
        </w:rPr>
      </w:pPr>
      <w:r>
        <w:rPr>
          <w:rFonts w:ascii="Arial" w:hAnsi="Arial" w:cs="Arial"/>
          <w:sz w:val="20"/>
          <w:szCs w:val="20"/>
          <w:vertAlign w:val="superscript"/>
        </w:rPr>
        <w:t>b</w:t>
      </w:r>
      <w:r>
        <w:rPr>
          <w:rFonts w:ascii="Arial" w:hAnsi="Arial" w:cs="Arial"/>
          <w:sz w:val="20"/>
          <w:szCs w:val="20"/>
        </w:rPr>
        <w:t xml:space="preserve"> Department of Mechanical Engineering, </w:t>
      </w:r>
      <w:r w:rsidR="00A76B86">
        <w:rPr>
          <w:rFonts w:ascii="Arial" w:hAnsi="Arial" w:cs="Arial"/>
          <w:sz w:val="20"/>
          <w:szCs w:val="20"/>
        </w:rPr>
        <w:t>NUS Singapore</w:t>
      </w:r>
    </w:p>
    <w:p w14:paraId="064726D5" w14:textId="77777777" w:rsidR="00606FFE" w:rsidRDefault="00606FFE" w:rsidP="00606FFE">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7375DF">
        <w:rPr>
          <w:rFonts w:ascii="Arial" w:hAnsi="Arial" w:cs="Arial"/>
          <w:sz w:val="20"/>
          <w:szCs w:val="20"/>
        </w:rPr>
        <w:t>vedha</w:t>
      </w:r>
      <w:r>
        <w:rPr>
          <w:rFonts w:ascii="Arial" w:hAnsi="Arial" w:cs="Arial"/>
          <w:sz w:val="20"/>
          <w:szCs w:val="20"/>
        </w:rPr>
        <w:t>@</w:t>
      </w:r>
      <w:r w:rsidR="007375DF">
        <w:rPr>
          <w:rFonts w:ascii="Arial" w:hAnsi="Arial" w:cs="Arial"/>
          <w:sz w:val="20"/>
          <w:szCs w:val="20"/>
        </w:rPr>
        <w:t>nitt.edu</w:t>
      </w:r>
    </w:p>
    <w:p w14:paraId="72A960A3" w14:textId="77777777" w:rsidR="00606FFE" w:rsidRDefault="00606FFE" w:rsidP="00606FFE">
      <w:pPr>
        <w:ind w:left="-142" w:firstLine="142"/>
      </w:pPr>
    </w:p>
    <w:p w14:paraId="66ED544F"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666E786B"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ABSTRACT</w:t>
      </w:r>
    </w:p>
    <w:p w14:paraId="370E8966" w14:textId="77777777"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 xml:space="preserve">In this paper, variation of cutting forces and corresponding torque exerted on tool with respect to cutting parameters for ball end milling process is analysed using deep neural network. A neural network was fabricated to predict cutting force and torque values for a given set of cutting parameters. Analysis was done by varying axial depth of cut and </w:t>
      </w:r>
      <w:proofErr w:type="spellStart"/>
      <w:r w:rsidRPr="001B24ED">
        <w:rPr>
          <w:rFonts w:ascii="Times New Roman" w:hAnsi="Times New Roman" w:cs="Times New Roman"/>
          <w:sz w:val="20"/>
          <w:szCs w:val="20"/>
        </w:rPr>
        <w:t>feedrate</w:t>
      </w:r>
      <w:proofErr w:type="spellEnd"/>
      <w:r w:rsidRPr="001B24ED">
        <w:rPr>
          <w:rFonts w:ascii="Times New Roman" w:hAnsi="Times New Roman" w:cs="Times New Roman"/>
          <w:sz w:val="20"/>
          <w:szCs w:val="20"/>
        </w:rPr>
        <w:t xml:space="preserve"> while keeping all other parameters constant, because the variation of cutting forces and torque was most significant for these two parameters. For generating data </w:t>
      </w:r>
      <w:proofErr w:type="spellStart"/>
      <w:r w:rsidRPr="001B24ED">
        <w:rPr>
          <w:rFonts w:ascii="Times New Roman" w:hAnsi="Times New Roman" w:cs="Times New Roman"/>
          <w:sz w:val="20"/>
          <w:szCs w:val="20"/>
        </w:rPr>
        <w:t>CutPro</w:t>
      </w:r>
      <w:proofErr w:type="spellEnd"/>
      <w:r w:rsidRPr="001B24ED">
        <w:rPr>
          <w:rFonts w:ascii="Times New Roman" w:hAnsi="Times New Roman" w:cs="Times New Roman"/>
          <w:sz w:val="20"/>
          <w:szCs w:val="20"/>
        </w:rPr>
        <w:t xml:space="preserve"> simulation software was used along with </w:t>
      </w:r>
      <w:proofErr w:type="spellStart"/>
      <w:r w:rsidRPr="001B24ED">
        <w:rPr>
          <w:rFonts w:ascii="Times New Roman" w:hAnsi="Times New Roman" w:cs="Times New Roman"/>
          <w:sz w:val="20"/>
          <w:szCs w:val="20"/>
        </w:rPr>
        <w:t>AutoIT</w:t>
      </w:r>
      <w:proofErr w:type="spellEnd"/>
      <w:r w:rsidRPr="001B24ED">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5 percent. </w:t>
      </w:r>
    </w:p>
    <w:p w14:paraId="43B9D071"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64950350" w14:textId="77777777" w:rsidR="001B24ED" w:rsidRDefault="001B24ED" w:rsidP="001B24ED">
      <w:pPr>
        <w:spacing w:after="0" w:line="240" w:lineRule="auto"/>
        <w:jc w:val="both"/>
        <w:rPr>
          <w:rFonts w:ascii="Times New Roman" w:hAnsi="Times New Roman" w:cs="Times New Roman"/>
          <w:sz w:val="20"/>
          <w:szCs w:val="20"/>
        </w:rPr>
      </w:pPr>
      <w:r w:rsidRPr="001B24ED">
        <w:rPr>
          <w:rFonts w:ascii="Times New Roman" w:hAnsi="Times New Roman" w:cs="Times New Roman"/>
          <w:sz w:val="20"/>
          <w:szCs w:val="20"/>
        </w:rP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14:paraId="0B46B426" w14:textId="4BCF2396" w:rsidR="001B24ED" w:rsidRPr="001B24ED" w:rsidRDefault="001B24ED" w:rsidP="001B24ED">
      <w:pPr>
        <w:spacing w:after="0" w:line="240" w:lineRule="auto"/>
        <w:jc w:val="both"/>
        <w:rPr>
          <w:rFonts w:ascii="Times New Roman" w:hAnsi="Times New Roman" w:cs="Times New Roman"/>
          <w:sz w:val="20"/>
          <w:szCs w:val="20"/>
        </w:rPr>
      </w:pPr>
      <w:r w:rsidRPr="001B24ED">
        <w:rPr>
          <w:rFonts w:ascii="Times New Roman" w:hAnsi="Times New Roman" w:cs="Times New Roman"/>
          <w:sz w:val="20"/>
          <w:szCs w:val="20"/>
        </w:rPr>
        <w:t>Titanium alloys find a wide application field in many industries, especially in space, aviation, biomedical, automotive and oil industries, due to high strength-weight ratio, superior corrosion resistance, low young modulus and biocompatibility properties of these materials.  About 70% by weight of titanium-based alloys are used in the aero-space industry [1]. Ti-6Al-4V alloy was specifically developed for applications demanding exceptional mechanical and chemical properties at elevated temperatures. Ti-6Al-4V alloy is particularly known to exhibit high strength to density ratios and good corrosion resistance properties. Titanium alloy is difficult to machine due to high chemical reactivity, generation of high cutting forces during milling, low thermal conductivity, high rigidity.</w:t>
      </w:r>
    </w:p>
    <w:p w14:paraId="3279C6E2" w14:textId="77777777"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 xml:space="preserve">Many researchers have given their insights in understanding machining of Titanium alloy and effects of cutting parameters on the cutting forces.  Rashid et al [1] conducted the research </w:t>
      </w:r>
      <w:r w:rsidRPr="001B24ED">
        <w:rPr>
          <w:rFonts w:ascii="Times New Roman" w:hAnsi="Times New Roman" w:cs="Times New Roman"/>
          <w:sz w:val="20"/>
          <w:szCs w:val="20"/>
        </w:rPr>
        <w:t xml:space="preserve">on T-6Cr-5Mo-5V-4Al beta aluminium alloy using Laser-assisted Machining [LAM]. The findings revealed that LAM significantly reduced cutting force within a certain range of cutting parameters. </w:t>
      </w:r>
      <w:proofErr w:type="spellStart"/>
      <w:r w:rsidRPr="001B24ED">
        <w:rPr>
          <w:rFonts w:ascii="Times New Roman" w:hAnsi="Times New Roman" w:cs="Times New Roman"/>
          <w:sz w:val="20"/>
          <w:szCs w:val="20"/>
        </w:rPr>
        <w:t>Niu</w:t>
      </w:r>
      <w:proofErr w:type="spellEnd"/>
      <w:r w:rsidRPr="001B24ED">
        <w:rPr>
          <w:rFonts w:ascii="Times New Roman" w:hAnsi="Times New Roman" w:cs="Times New Roman"/>
          <w:sz w:val="20"/>
          <w:szCs w:val="20"/>
        </w:rPr>
        <w:t xml:space="preserve"> et al [2] found that resultant cutting force increased with cutting speed in face milling process of TC6 alloy. Szymon </w:t>
      </w:r>
      <w:proofErr w:type="spellStart"/>
      <w:r w:rsidRPr="001B24ED">
        <w:rPr>
          <w:rFonts w:ascii="Times New Roman" w:hAnsi="Times New Roman" w:cs="Times New Roman"/>
          <w:sz w:val="20"/>
          <w:szCs w:val="20"/>
        </w:rPr>
        <w:t>Wojiciechowski</w:t>
      </w:r>
      <w:proofErr w:type="spellEnd"/>
      <w:r w:rsidRPr="001B24ED">
        <w:rPr>
          <w:rFonts w:ascii="Times New Roman" w:hAnsi="Times New Roman" w:cs="Times New Roman"/>
          <w:sz w:val="20"/>
          <w:szCs w:val="20"/>
        </w:rPr>
        <w:t xml:space="preserve"> et al [3] proposed a cutting force model for ball end mill for finishing operation which includes influence of surface inclination and cutter runout. Research revealed that cutter's run out and surface inclination angle have significant influence on the cutting forces, both in the quantitative and qualitative aspect. </w:t>
      </w:r>
      <w:proofErr w:type="spellStart"/>
      <w:proofErr w:type="gramStart"/>
      <w:r w:rsidRPr="001B24ED">
        <w:rPr>
          <w:rFonts w:ascii="Times New Roman" w:hAnsi="Times New Roman" w:cs="Times New Roman"/>
          <w:sz w:val="20"/>
          <w:szCs w:val="20"/>
        </w:rPr>
        <w:t>S.Sun</w:t>
      </w:r>
      <w:proofErr w:type="spellEnd"/>
      <w:proofErr w:type="gramEnd"/>
      <w:r w:rsidRPr="001B24ED">
        <w:rPr>
          <w:rFonts w:ascii="Times New Roman" w:hAnsi="Times New Roman" w:cs="Times New Roman"/>
          <w:sz w:val="20"/>
          <w:szCs w:val="20"/>
        </w:rPr>
        <w:t xml:space="preserve"> et al, </w:t>
      </w:r>
      <w:proofErr w:type="spellStart"/>
      <w:r w:rsidRPr="001B24ED">
        <w:rPr>
          <w:rFonts w:ascii="Times New Roman" w:hAnsi="Times New Roman" w:cs="Times New Roman"/>
          <w:sz w:val="20"/>
          <w:szCs w:val="20"/>
        </w:rPr>
        <w:t>M.Brandt</w:t>
      </w:r>
      <w:proofErr w:type="spellEnd"/>
      <w:r w:rsidRPr="001B24ED">
        <w:rPr>
          <w:rFonts w:ascii="Times New Roman" w:hAnsi="Times New Roman" w:cs="Times New Roman"/>
          <w:sz w:val="20"/>
          <w:szCs w:val="20"/>
        </w:rPr>
        <w:t xml:space="preserve"> et al, M.S </w:t>
      </w:r>
      <w:proofErr w:type="spellStart"/>
      <w:r w:rsidRPr="001B24ED">
        <w:rPr>
          <w:rFonts w:ascii="Times New Roman" w:hAnsi="Times New Roman" w:cs="Times New Roman"/>
          <w:sz w:val="20"/>
          <w:szCs w:val="20"/>
        </w:rPr>
        <w:t>Dargusch</w:t>
      </w:r>
      <w:proofErr w:type="spellEnd"/>
      <w:r w:rsidRPr="001B24ED">
        <w:rPr>
          <w:rFonts w:ascii="Times New Roman" w:hAnsi="Times New Roman" w:cs="Times New Roman"/>
          <w:sz w:val="20"/>
          <w:szCs w:val="20"/>
        </w:rPr>
        <w:t xml:space="preserve"> et al [4] observed chip formation  with dynamic cutting force measurements  under different cutting speeds, feed rates, and depth of cuts. Both segmented and continuous chip formation of one cut at larger feed rates and lower cutting speeds were observed. A cyclic force produced during formation of segmented chips and the force frequency was the same as the chip segmented frequency. The peak of the cyclic force when producing segmented chips was 1.18 times that producing the continuous chip. The cyclic force frequency increased linearly with cutting speed and decreased inversely with feed rate. The cutting force increased with the feed rate and depth of cut at constant cutting speed due to the large volume of material being removed. n cutting force with increasing cutting speed was attributed to the strain rate hardening at low and high strain rates, respectively. The decrease in cutting force with increasing cutting speed outside these speed ranges was due to the thermal softening of the material.</w:t>
      </w:r>
    </w:p>
    <w:p w14:paraId="1D122B56" w14:textId="77777777" w:rsidR="001B24ED" w:rsidRPr="001B24ED" w:rsidRDefault="001B24ED" w:rsidP="001B24ED">
      <w:pPr>
        <w:rPr>
          <w:rFonts w:ascii="Times New Roman" w:hAnsi="Times New Roman" w:cs="Times New Roman"/>
          <w:sz w:val="20"/>
          <w:szCs w:val="20"/>
        </w:rPr>
      </w:pPr>
      <w:r w:rsidRPr="001B24ED">
        <w:rPr>
          <w:rFonts w:ascii="Times New Roman" w:hAnsi="Times New Roman" w:cs="Times New Roman"/>
          <w:b/>
          <w:bCs/>
          <w:sz w:val="20"/>
          <w:szCs w:val="20"/>
        </w:rPr>
        <w:t xml:space="preserve">DATA GENERATION                                                              </w:t>
      </w:r>
    </w:p>
    <w:p w14:paraId="5D154AC5" w14:textId="77777777" w:rsidR="001B24ED" w:rsidRPr="001B24ED" w:rsidRDefault="001B24ED" w:rsidP="001B24ED">
      <w:pPr>
        <w:rPr>
          <w:rFonts w:ascii="Times New Roman" w:hAnsi="Times New Roman" w:cs="Times New Roman"/>
          <w:sz w:val="20"/>
          <w:szCs w:val="20"/>
        </w:rPr>
      </w:pPr>
      <w:r w:rsidRPr="001B24ED">
        <w:rPr>
          <w:rFonts w:ascii="Times New Roman" w:hAnsi="Times New Roman" w:cs="Times New Roman"/>
          <w:sz w:val="20"/>
          <w:szCs w:val="20"/>
        </w:rPr>
        <w:t xml:space="preserve">Axial Depth of Cut [ADOC] was varied from 1mm to 1.9mm in the steps of 0.02mm and </w:t>
      </w:r>
      <w:proofErr w:type="spellStart"/>
      <w:r w:rsidRPr="001B24ED">
        <w:rPr>
          <w:rFonts w:ascii="Times New Roman" w:hAnsi="Times New Roman" w:cs="Times New Roman"/>
          <w:sz w:val="20"/>
          <w:szCs w:val="20"/>
        </w:rPr>
        <w:t>Feedrate</w:t>
      </w:r>
      <w:proofErr w:type="spellEnd"/>
      <w:r w:rsidRPr="001B24ED">
        <w:rPr>
          <w:rFonts w:ascii="Times New Roman" w:hAnsi="Times New Roman" w:cs="Times New Roman"/>
          <w:sz w:val="20"/>
          <w:szCs w:val="20"/>
        </w:rPr>
        <w:t xml:space="preserve"> was varied from 0.200 mm/flute to 0.290 mm/flute in steps 0.01 mm/flute.</w:t>
      </w:r>
    </w:p>
    <w:p w14:paraId="0778533A" w14:textId="77B67D62" w:rsidR="001B24ED" w:rsidRDefault="001B24ED" w:rsidP="001B24ED">
      <w:pPr>
        <w:rPr>
          <w:rFonts w:ascii="Times New Roman" w:hAnsi="Times New Roman" w:cs="Times New Roman"/>
          <w:sz w:val="20"/>
          <w:szCs w:val="20"/>
        </w:rPr>
      </w:pPr>
      <w:r w:rsidRPr="001B24ED">
        <w:rPr>
          <w:rFonts w:ascii="Times New Roman" w:hAnsi="Times New Roman" w:cs="Times New Roman"/>
          <w:sz w:val="20"/>
          <w:szCs w:val="20"/>
        </w:rPr>
        <w:t xml:space="preserve">For various Combination of Feed rate and ADOC, time domain simulations were conducted and instantaneous forces (Feed, Axial, Normal) and instantaneous torque values were stored in excel Files. A total of 600 files were generated for </w:t>
      </w:r>
      <w:r w:rsidRPr="001B24ED">
        <w:rPr>
          <w:rFonts w:ascii="Times New Roman" w:hAnsi="Times New Roman" w:cs="Times New Roman"/>
          <w:sz w:val="20"/>
          <w:szCs w:val="20"/>
        </w:rPr>
        <w:lastRenderedPageBreak/>
        <w:t>various combinations of cutting parameters.  RMS values for Feed Force, Normal Force, Axial Force and Instantaneous torque were calculated and the findings were plotted on a Pivot Chart.</w:t>
      </w:r>
    </w:p>
    <w:p w14:paraId="0B35AF0D" w14:textId="77777777" w:rsidR="00104185" w:rsidRDefault="00104185" w:rsidP="00104185">
      <w:pPr>
        <w:ind w:left="-142" w:firstLine="142"/>
        <w:rPr>
          <w:rFonts w:ascii="Arial" w:hAnsi="Arial" w:cs="Arial"/>
          <w:b/>
          <w:bCs/>
          <w:sz w:val="20"/>
          <w:szCs w:val="20"/>
        </w:rPr>
      </w:pPr>
      <w:r>
        <w:rPr>
          <w:rFonts w:ascii="Arial" w:hAnsi="Arial" w:cs="Arial"/>
          <w:b/>
          <w:bCs/>
          <w:sz w:val="20"/>
          <w:szCs w:val="20"/>
        </w:rPr>
        <w:t>CUTTING CONDITIONS CONSIDERED</w:t>
      </w:r>
      <w:r>
        <w:rPr>
          <w:rFonts w:ascii="Arial" w:hAnsi="Arial" w:cs="Arial"/>
          <w:b/>
          <w:bCs/>
          <w:sz w:val="20"/>
          <w:szCs w:val="20"/>
        </w:rPr>
        <w:tab/>
      </w:r>
    </w:p>
    <w:p w14:paraId="2EF5150F" w14:textId="6126F9C3" w:rsidR="00104185" w:rsidRDefault="00104185" w:rsidP="00104185">
      <w:pPr>
        <w:jc w:val="both"/>
        <w:rPr>
          <w:rFonts w:ascii="Times New Roman" w:hAnsi="Times New Roman" w:cs="Times New Roman"/>
          <w:sz w:val="20"/>
          <w:szCs w:val="20"/>
        </w:rPr>
      </w:pPr>
      <w:r>
        <w:rPr>
          <w:rFonts w:ascii="Times New Roman" w:hAnsi="Times New Roman" w:cs="Times New Roman"/>
          <w:sz w:val="20"/>
          <w:szCs w:val="20"/>
        </w:rPr>
        <w:t>Ti-6Al-4V machining simulation was carried out on CUT-PRO simulation software. A 4-Flute Ball. End Mill tool with constant helix was chosen for slotting operation</w:t>
      </w:r>
    </w:p>
    <w:p w14:paraId="55E171E2" w14:textId="68F818B2" w:rsidR="001B24ED" w:rsidRPr="001B24ED" w:rsidRDefault="001B24ED" w:rsidP="00D35B7C">
      <w:pPr>
        <w:spacing w:after="0"/>
        <w:rPr>
          <w:rFonts w:ascii="Arial" w:hAnsi="Arial" w:cs="Arial"/>
          <w:b/>
          <w:bCs/>
          <w:sz w:val="20"/>
          <w:szCs w:val="20"/>
        </w:rPr>
      </w:pPr>
      <w:r>
        <w:rPr>
          <w:rFonts w:ascii="Arial" w:hAnsi="Arial" w:cs="Arial"/>
          <w:b/>
          <w:bCs/>
          <w:sz w:val="20"/>
          <w:szCs w:val="20"/>
        </w:rPr>
        <w:t>Ge</w:t>
      </w:r>
      <w:bookmarkStart w:id="0" w:name="_GoBack"/>
      <w:bookmarkEnd w:id="0"/>
      <w:r>
        <w:rPr>
          <w:rFonts w:ascii="Arial" w:hAnsi="Arial" w:cs="Arial"/>
          <w:b/>
          <w:bCs/>
          <w:sz w:val="20"/>
          <w:szCs w:val="20"/>
        </w:rPr>
        <w:t>ometrical Parameters of the tool are as follows:</w:t>
      </w:r>
    </w:p>
    <w:tbl>
      <w:tblPr>
        <w:tblStyle w:val="GridTable1Light"/>
        <w:tblpPr w:leftFromText="180" w:rightFromText="180" w:vertAnchor="text" w:horzAnchor="margin" w:tblpY="91"/>
        <w:tblW w:w="4957" w:type="dxa"/>
        <w:tblLook w:val="04A0" w:firstRow="1" w:lastRow="0" w:firstColumn="1" w:lastColumn="0" w:noHBand="0" w:noVBand="1"/>
      </w:tblPr>
      <w:tblGrid>
        <w:gridCol w:w="2405"/>
        <w:gridCol w:w="2552"/>
      </w:tblGrid>
      <w:tr w:rsidR="001B24ED" w:rsidRPr="001B24ED" w14:paraId="5961A2A5" w14:textId="77777777" w:rsidTr="001B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ED135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b w:val="0"/>
                <w:bCs w:val="0"/>
                <w:sz w:val="20"/>
                <w:szCs w:val="20"/>
              </w:rPr>
              <w:t>Parameter</w:t>
            </w:r>
          </w:p>
        </w:tc>
        <w:tc>
          <w:tcPr>
            <w:tcW w:w="2552" w:type="dxa"/>
          </w:tcPr>
          <w:p w14:paraId="780B023C" w14:textId="77777777" w:rsidR="001B24ED" w:rsidRPr="001B24ED" w:rsidRDefault="001B24ED" w:rsidP="00E14E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B24ED">
              <w:rPr>
                <w:rFonts w:ascii="Times New Roman" w:hAnsi="Times New Roman" w:cs="Times New Roman"/>
                <w:b w:val="0"/>
                <w:bCs w:val="0"/>
                <w:sz w:val="20"/>
                <w:szCs w:val="20"/>
              </w:rPr>
              <w:t>Value</w:t>
            </w:r>
          </w:p>
        </w:tc>
      </w:tr>
      <w:tr w:rsidR="001B24ED" w:rsidRPr="001B24ED" w14:paraId="456D5D98"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1A96EAF" w14:textId="77777777" w:rsidR="001B24ED" w:rsidRPr="001B24ED" w:rsidRDefault="001B24ED" w:rsidP="00E14E2F">
            <w:pPr>
              <w:rPr>
                <w:rFonts w:ascii="Times New Roman" w:hAnsi="Times New Roman" w:cs="Times New Roman"/>
                <w:b w:val="0"/>
                <w:bCs w:val="0"/>
                <w:sz w:val="20"/>
                <w:szCs w:val="20"/>
              </w:rPr>
            </w:pPr>
            <w:r w:rsidRPr="001B24ED">
              <w:rPr>
                <w:rFonts w:ascii="Times New Roman" w:hAnsi="Times New Roman" w:cs="Times New Roman"/>
                <w:sz w:val="20"/>
                <w:szCs w:val="20"/>
              </w:rPr>
              <w:t>Diameter</w:t>
            </w:r>
          </w:p>
        </w:tc>
        <w:tc>
          <w:tcPr>
            <w:tcW w:w="2552" w:type="dxa"/>
          </w:tcPr>
          <w:p w14:paraId="2C07E1C7"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20 mm</w:t>
            </w:r>
          </w:p>
        </w:tc>
      </w:tr>
      <w:tr w:rsidR="001B24ED" w:rsidRPr="001B24ED" w14:paraId="6E909A09"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0FAC62F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Length</w:t>
            </w:r>
          </w:p>
        </w:tc>
        <w:tc>
          <w:tcPr>
            <w:tcW w:w="2552" w:type="dxa"/>
          </w:tcPr>
          <w:p w14:paraId="635C7F6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150 mm</w:t>
            </w:r>
          </w:p>
        </w:tc>
      </w:tr>
      <w:tr w:rsidR="001B24ED" w:rsidRPr="001B24ED" w14:paraId="051F34A7"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3C7242A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Flute Height</w:t>
            </w:r>
          </w:p>
        </w:tc>
        <w:tc>
          <w:tcPr>
            <w:tcW w:w="2552" w:type="dxa"/>
          </w:tcPr>
          <w:p w14:paraId="067301F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10 mm</w:t>
            </w:r>
          </w:p>
        </w:tc>
      </w:tr>
      <w:tr w:rsidR="001B24ED" w:rsidRPr="001B24ED" w14:paraId="6F54B06E"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933AEEE"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Helix Angle</w:t>
            </w:r>
          </w:p>
        </w:tc>
        <w:tc>
          <w:tcPr>
            <w:tcW w:w="2552" w:type="dxa"/>
          </w:tcPr>
          <w:p w14:paraId="6ECAA624"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30</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r w:rsidR="001B24ED" w:rsidRPr="001B24ED" w14:paraId="44325E10"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F0167D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Rake Angle</w:t>
            </w:r>
          </w:p>
        </w:tc>
        <w:tc>
          <w:tcPr>
            <w:tcW w:w="2552" w:type="dxa"/>
          </w:tcPr>
          <w:p w14:paraId="13F8A082"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5</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bl>
    <w:p w14:paraId="5464E22A" w14:textId="5435DD46" w:rsidR="001B24ED" w:rsidRDefault="001B24ED" w:rsidP="001B24ED">
      <w:pPr>
        <w:spacing w:after="0" w:line="240" w:lineRule="auto"/>
        <w:rPr>
          <w:rFonts w:ascii="Times New Roman" w:hAnsi="Times New Roman" w:cs="Times New Roman"/>
          <w:sz w:val="20"/>
          <w:szCs w:val="20"/>
        </w:rPr>
      </w:pPr>
    </w:p>
    <w:tbl>
      <w:tblPr>
        <w:tblStyle w:val="GridTable1Light"/>
        <w:tblpPr w:leftFromText="180" w:rightFromText="180" w:vertAnchor="text" w:horzAnchor="margin" w:tblpY="592"/>
        <w:tblW w:w="4957" w:type="dxa"/>
        <w:tblLook w:val="04A0" w:firstRow="1" w:lastRow="0" w:firstColumn="1" w:lastColumn="0" w:noHBand="0" w:noVBand="1"/>
      </w:tblPr>
      <w:tblGrid>
        <w:gridCol w:w="2263"/>
        <w:gridCol w:w="2694"/>
      </w:tblGrid>
      <w:tr w:rsidR="00D35B7C" w14:paraId="72F65E03" w14:textId="77777777" w:rsidTr="00D3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C338D8" w14:textId="77777777" w:rsidR="00D35B7C" w:rsidRDefault="00D35B7C" w:rsidP="00D35B7C">
            <w:pPr>
              <w:rPr>
                <w:rFonts w:ascii="Times New Roman" w:hAnsi="Times New Roman" w:cs="Times New Roman"/>
                <w:b w:val="0"/>
                <w:bCs w:val="0"/>
                <w:sz w:val="20"/>
                <w:szCs w:val="20"/>
              </w:rPr>
            </w:pPr>
            <w:r>
              <w:rPr>
                <w:rFonts w:ascii="Times New Roman" w:hAnsi="Times New Roman" w:cs="Times New Roman"/>
                <w:b w:val="0"/>
                <w:bCs w:val="0"/>
                <w:sz w:val="20"/>
                <w:szCs w:val="20"/>
              </w:rPr>
              <w:t>Property</w:t>
            </w:r>
          </w:p>
        </w:tc>
        <w:tc>
          <w:tcPr>
            <w:tcW w:w="2694" w:type="dxa"/>
          </w:tcPr>
          <w:p w14:paraId="1C6893AF" w14:textId="77777777" w:rsidR="00D35B7C" w:rsidRDefault="00D35B7C" w:rsidP="00D35B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Value</w:t>
            </w:r>
          </w:p>
        </w:tc>
      </w:tr>
      <w:tr w:rsidR="00D35B7C" w14:paraId="200692C5"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0819731" w14:textId="77777777" w:rsidR="00D35B7C" w:rsidRPr="00F12026" w:rsidRDefault="00D35B7C" w:rsidP="00D35B7C">
            <w:pPr>
              <w:rPr>
                <w:rFonts w:ascii="Times New Roman" w:hAnsi="Times New Roman" w:cs="Times New Roman"/>
                <w:b w:val="0"/>
                <w:bCs w:val="0"/>
                <w:sz w:val="20"/>
                <w:szCs w:val="20"/>
              </w:rPr>
            </w:pPr>
            <w:r>
              <w:rPr>
                <w:rFonts w:ascii="Times New Roman" w:hAnsi="Times New Roman" w:cs="Times New Roman"/>
                <w:sz w:val="20"/>
                <w:szCs w:val="20"/>
              </w:rPr>
              <w:t>Hardness</w:t>
            </w:r>
          </w:p>
        </w:tc>
        <w:tc>
          <w:tcPr>
            <w:tcW w:w="2694" w:type="dxa"/>
          </w:tcPr>
          <w:p w14:paraId="3692279D"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340HB</w:t>
            </w:r>
          </w:p>
        </w:tc>
      </w:tr>
      <w:tr w:rsidR="00D35B7C" w14:paraId="0CA1C9A2"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7395626"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Density</w:t>
            </w:r>
          </w:p>
        </w:tc>
        <w:tc>
          <w:tcPr>
            <w:tcW w:w="2694" w:type="dxa"/>
          </w:tcPr>
          <w:p w14:paraId="2DAACDB1"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4.706g/cm</w:t>
            </w:r>
            <w:r>
              <w:rPr>
                <w:rFonts w:ascii="Times New Roman" w:hAnsi="Times New Roman" w:cs="Times New Roman"/>
                <w:sz w:val="20"/>
                <w:szCs w:val="20"/>
                <w:vertAlign w:val="superscript"/>
              </w:rPr>
              <w:t>3</w:t>
            </w:r>
            <w:r>
              <w:rPr>
                <w:rFonts w:ascii="Times New Roman" w:hAnsi="Times New Roman" w:cs="Times New Roman"/>
                <w:sz w:val="20"/>
                <w:szCs w:val="20"/>
              </w:rPr>
              <w:t xml:space="preserve"> </w:t>
            </w:r>
          </w:p>
        </w:tc>
      </w:tr>
      <w:tr w:rsidR="00D35B7C" w14:paraId="04F1BF56"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5C10685"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Thermal Conductivity</w:t>
            </w:r>
          </w:p>
        </w:tc>
        <w:tc>
          <w:tcPr>
            <w:tcW w:w="2694" w:type="dxa"/>
          </w:tcPr>
          <w:p w14:paraId="4923FEC6"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6.000W/m-K</w:t>
            </w:r>
          </w:p>
        </w:tc>
      </w:tr>
      <w:tr w:rsidR="00D35B7C" w14:paraId="61FB1CC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945EBB5"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Young’s Modulus</w:t>
            </w:r>
          </w:p>
        </w:tc>
        <w:tc>
          <w:tcPr>
            <w:tcW w:w="2694" w:type="dxa"/>
          </w:tcPr>
          <w:p w14:paraId="1A7051B4"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1.15*10</w:t>
            </w:r>
            <w:r>
              <w:rPr>
                <w:rFonts w:ascii="Times New Roman" w:hAnsi="Times New Roman" w:cs="Times New Roman"/>
                <w:sz w:val="20"/>
                <w:szCs w:val="20"/>
                <w:vertAlign w:val="superscript"/>
              </w:rPr>
              <w:t>11</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D35B7C" w14:paraId="26E464D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98C4646"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Tensile Strength</w:t>
            </w:r>
          </w:p>
        </w:tc>
        <w:tc>
          <w:tcPr>
            <w:tcW w:w="2694" w:type="dxa"/>
          </w:tcPr>
          <w:p w14:paraId="1570E3EB"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D35B7C" w14:paraId="5ADC34F3"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22FD8E55"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Yield Strength</w:t>
            </w:r>
          </w:p>
        </w:tc>
        <w:tc>
          <w:tcPr>
            <w:tcW w:w="2694" w:type="dxa"/>
          </w:tcPr>
          <w:p w14:paraId="744A20E0"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D35B7C" w14:paraId="049BEC9F"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CE8269E"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Shear Strength</w:t>
            </w:r>
          </w:p>
        </w:tc>
        <w:tc>
          <w:tcPr>
            <w:tcW w:w="2694" w:type="dxa"/>
          </w:tcPr>
          <w:p w14:paraId="011E5B29"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bl>
    <w:p w14:paraId="31B8BA3E" w14:textId="012910F5" w:rsidR="00104185" w:rsidRPr="00104185" w:rsidRDefault="001B24ED" w:rsidP="00104185">
      <w:pPr>
        <w:rPr>
          <w:rFonts w:ascii="Times New Roman" w:hAnsi="Times New Roman" w:cs="Times New Roman"/>
          <w:b/>
          <w:bCs/>
        </w:rPr>
      </w:pPr>
      <w:r>
        <w:rPr>
          <w:rFonts w:ascii="Times New Roman" w:hAnsi="Times New Roman" w:cs="Times New Roman"/>
          <w:b/>
          <w:bCs/>
        </w:rPr>
        <w:t>Workpiece for the Simulation was Ti-6Al-4V alloy which has the following Properties</w:t>
      </w:r>
    </w:p>
    <w:p w14:paraId="3A48E3C0" w14:textId="77777777" w:rsidR="00D35B7C" w:rsidRDefault="00D35B7C" w:rsidP="00104185">
      <w:pPr>
        <w:spacing w:after="0"/>
        <w:rPr>
          <w:rFonts w:ascii="Times New Roman" w:hAnsi="Times New Roman" w:cs="Times New Roman"/>
          <w:b/>
          <w:bCs/>
          <w:sz w:val="20"/>
          <w:szCs w:val="20"/>
        </w:rPr>
      </w:pPr>
    </w:p>
    <w:tbl>
      <w:tblPr>
        <w:tblStyle w:val="GridTable1Light"/>
        <w:tblpPr w:leftFromText="180" w:rightFromText="180" w:vertAnchor="text" w:horzAnchor="margin" w:tblpY="335"/>
        <w:tblW w:w="0" w:type="auto"/>
        <w:tblLook w:val="04A0" w:firstRow="1" w:lastRow="0" w:firstColumn="1" w:lastColumn="0" w:noHBand="0" w:noVBand="1"/>
      </w:tblPr>
      <w:tblGrid>
        <w:gridCol w:w="2469"/>
        <w:gridCol w:w="2470"/>
      </w:tblGrid>
      <w:tr w:rsidR="00104185" w14:paraId="1A65F5BF" w14:textId="77777777" w:rsidTr="0010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14:paraId="1B6B0FB3"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Parameter</w:t>
            </w:r>
          </w:p>
        </w:tc>
        <w:tc>
          <w:tcPr>
            <w:tcW w:w="2470" w:type="dxa"/>
          </w:tcPr>
          <w:p w14:paraId="75460620" w14:textId="77777777" w:rsidR="00104185" w:rsidRDefault="00104185" w:rsidP="0010418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Times New Roman" w:hAnsi="Times New Roman" w:cs="Times New Roman"/>
                <w:sz w:val="20"/>
                <w:szCs w:val="20"/>
              </w:rPr>
              <w:t>Value</w:t>
            </w:r>
          </w:p>
        </w:tc>
      </w:tr>
      <w:tr w:rsidR="00104185" w14:paraId="10BF4887"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49162D9"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Spindle Direction</w:t>
            </w:r>
          </w:p>
        </w:tc>
        <w:tc>
          <w:tcPr>
            <w:tcW w:w="2470" w:type="dxa"/>
          </w:tcPr>
          <w:p w14:paraId="6889FD17"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Clockwise</w:t>
            </w:r>
          </w:p>
        </w:tc>
      </w:tr>
      <w:tr w:rsidR="00104185" w14:paraId="0E9729E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154E2F79"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Milling Mode</w:t>
            </w:r>
          </w:p>
        </w:tc>
        <w:tc>
          <w:tcPr>
            <w:tcW w:w="2470" w:type="dxa"/>
          </w:tcPr>
          <w:p w14:paraId="737FF2EB"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Slotting</w:t>
            </w:r>
          </w:p>
        </w:tc>
      </w:tr>
      <w:tr w:rsidR="00104185" w14:paraId="0C2855C3"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82EE7DE"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RPM</w:t>
            </w:r>
          </w:p>
        </w:tc>
        <w:tc>
          <w:tcPr>
            <w:tcW w:w="2470" w:type="dxa"/>
          </w:tcPr>
          <w:p w14:paraId="1A8219E6"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300</w:t>
            </w:r>
          </w:p>
        </w:tc>
      </w:tr>
      <w:tr w:rsidR="00104185" w14:paraId="6807968F"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26EDF14"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Number of revolutions</w:t>
            </w:r>
          </w:p>
        </w:tc>
        <w:tc>
          <w:tcPr>
            <w:tcW w:w="2470" w:type="dxa"/>
          </w:tcPr>
          <w:p w14:paraId="7270AF72"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1</w:t>
            </w:r>
          </w:p>
        </w:tc>
      </w:tr>
      <w:tr w:rsidR="00104185" w14:paraId="4E28DC2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627DD52"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Sampling Frequency</w:t>
            </w:r>
          </w:p>
        </w:tc>
        <w:tc>
          <w:tcPr>
            <w:tcW w:w="2470" w:type="dxa"/>
          </w:tcPr>
          <w:p w14:paraId="42623F72"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10</w:t>
            </w:r>
          </w:p>
        </w:tc>
      </w:tr>
    </w:tbl>
    <w:p w14:paraId="65DBA3A3" w14:textId="295379C5" w:rsidR="00104185" w:rsidRDefault="00104185" w:rsidP="00104185">
      <w:r>
        <w:rPr>
          <w:rFonts w:ascii="Times New Roman" w:hAnsi="Times New Roman" w:cs="Times New Roman"/>
          <w:b/>
          <w:bCs/>
          <w:sz w:val="20"/>
          <w:szCs w:val="20"/>
        </w:rPr>
        <w:t>Other cutting parameters</w:t>
      </w:r>
      <w:r>
        <w:rPr>
          <w:rFonts w:ascii="Times New Roman" w:hAnsi="Times New Roman" w:cs="Times New Roman"/>
          <w:b/>
          <w:bCs/>
        </w:rPr>
        <w:t xml:space="preserve"> were taken as follows:</w:t>
      </w:r>
    </w:p>
    <w:p w14:paraId="0F54674F" w14:textId="77777777" w:rsidR="00104185" w:rsidRDefault="00104185" w:rsidP="001B24ED">
      <w:pPr>
        <w:rPr>
          <w:rFonts w:ascii="Arial" w:hAnsi="Arial" w:cs="Arial"/>
          <w:b/>
          <w:bCs/>
          <w:sz w:val="20"/>
          <w:szCs w:val="20"/>
        </w:rPr>
      </w:pPr>
    </w:p>
    <w:p w14:paraId="41D97174" w14:textId="77777777" w:rsidR="00104185" w:rsidRDefault="00104185" w:rsidP="00606FFE">
      <w:pPr>
        <w:ind w:left="-142" w:firstLine="142"/>
        <w:rPr>
          <w:rFonts w:ascii="Times New Roman" w:hAnsi="Times New Roman" w:cs="Times New Roman"/>
          <w:b/>
          <w:sz w:val="20"/>
          <w:szCs w:val="20"/>
        </w:rPr>
      </w:pPr>
    </w:p>
    <w:p w14:paraId="255994C7" w14:textId="5E34F14F" w:rsidR="00606FFE" w:rsidRPr="001B24ED" w:rsidRDefault="00606FFE" w:rsidP="00606FFE">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78AD4EA3" w14:textId="77777777" w:rsidR="00606FFE" w:rsidRPr="001B24ED" w:rsidRDefault="007375DF" w:rsidP="007375DF">
      <w:pPr>
        <w:ind w:left="-142" w:firstLine="142"/>
        <w:jc w:val="both"/>
        <w:rPr>
          <w:rFonts w:ascii="Times New Roman" w:hAnsi="Times New Roman" w:cs="Times New Roman"/>
          <w:color w:val="000000"/>
          <w:sz w:val="20"/>
          <w:szCs w:val="20"/>
          <w:lang w:val="en-GB"/>
        </w:rPr>
      </w:pPr>
      <w:r w:rsidRPr="001B24ED">
        <w:rPr>
          <w:rFonts w:ascii="Times New Roman" w:hAnsi="Times New Roman" w:cs="Times New Roman"/>
          <w:color w:val="000000"/>
          <w:sz w:val="20"/>
          <w:szCs w:val="20"/>
          <w:lang w:val="en-GB"/>
        </w:rPr>
        <w:t>The increasing global demand for energy and rising level of greenhouse gas emissions have driven the need to find renewable source of alternate fuels for variety of practical combustion devices [1]. In such a scenario, biodiesel has emerged as a promising alternate fuel to replace a fraction of petroleum products, particularly for diesel engine applications [2]. Significantly, over the decades, there have been many contributions to the production and characterization of variety of biodiesel, produced from different species, for utilizing them in a diesel engine [3,4]</w:t>
      </w:r>
      <w:r w:rsidR="00606FFE" w:rsidRPr="001B24ED">
        <w:rPr>
          <w:rFonts w:ascii="Times New Roman" w:hAnsi="Times New Roman" w:cs="Times New Roman"/>
          <w:color w:val="000000"/>
          <w:sz w:val="20"/>
          <w:szCs w:val="20"/>
          <w:lang w:val="en-GB"/>
        </w:rPr>
        <w:t xml:space="preserve">. Son and </w:t>
      </w:r>
      <w:proofErr w:type="spellStart"/>
      <w:r w:rsidR="00606FFE" w:rsidRPr="001B24ED">
        <w:rPr>
          <w:rFonts w:ascii="Times New Roman" w:hAnsi="Times New Roman" w:cs="Times New Roman"/>
          <w:color w:val="000000"/>
          <w:sz w:val="20"/>
          <w:szCs w:val="20"/>
          <w:lang w:val="en-GB"/>
        </w:rPr>
        <w:t>Dhir</w:t>
      </w:r>
      <w:proofErr w:type="spellEnd"/>
      <w:r w:rsidR="00606FFE" w:rsidRPr="001B24ED">
        <w:rPr>
          <w:rFonts w:ascii="Times New Roman" w:hAnsi="Times New Roman" w:cs="Times New Roman"/>
          <w:color w:val="000000"/>
          <w:sz w:val="20"/>
          <w:szCs w:val="20"/>
          <w:lang w:val="en-GB"/>
        </w:rPr>
        <w:t xml:space="preserve"> [5] through numerical simulations found out that, with increase in wall superheat and contact angle there is an increase in the diameter of departing bubble. But, to avoid interaction related complexities, previous studies mainly focused on bubble release from single nucleation site. The interaction of neighbouring sites makes the phenomenon quite complex which leads to preference and suppression issues among bubble ejecting sites. Moreover, in </w:t>
      </w:r>
      <w:r w:rsidR="00606FFE" w:rsidRPr="001B24ED">
        <w:rPr>
          <w:rFonts w:ascii="Times New Roman" w:hAnsi="Times New Roman" w:cs="Times New Roman"/>
          <w:color w:val="000000"/>
          <w:sz w:val="20"/>
          <w:szCs w:val="20"/>
          <w:lang w:val="en-GB"/>
        </w:rPr>
        <w:t>engineering applications like evaporator coil, stack of interacting boiling surfaces are quite common. Hence, an effort needs to be developed to understand mutual interaction of neighbouring sites in stack. In present study, numerical simulations have been performed to study the bubble dynamics around a stack of wires.</w:t>
      </w:r>
    </w:p>
    <w:p w14:paraId="2BAEB3D5" w14:textId="77777777" w:rsidR="00606FFE" w:rsidRPr="001B24ED" w:rsidRDefault="00606FFE" w:rsidP="00606FFE">
      <w:pPr>
        <w:ind w:left="-142" w:firstLine="142"/>
        <w:jc w:val="both"/>
        <w:rPr>
          <w:rFonts w:ascii="Times New Roman" w:hAnsi="Times New Roman" w:cs="Times New Roman"/>
          <w:b/>
          <w:color w:val="000000"/>
          <w:sz w:val="20"/>
          <w:szCs w:val="20"/>
          <w:lang w:val="en-GB"/>
        </w:rPr>
      </w:pPr>
      <w:r w:rsidRPr="001B24ED">
        <w:rPr>
          <w:rFonts w:ascii="Times New Roman" w:hAnsi="Times New Roman" w:cs="Times New Roman"/>
          <w:b/>
          <w:color w:val="000000"/>
          <w:sz w:val="20"/>
          <w:szCs w:val="20"/>
          <w:lang w:val="en-GB"/>
        </w:rPr>
        <w:t>GOVERNING EQUATIONS:</w:t>
      </w:r>
    </w:p>
    <w:p w14:paraId="6835CC84" w14:textId="77777777" w:rsidR="00606FFE" w:rsidRPr="001B24ED" w:rsidRDefault="00606FFE" w:rsidP="00606FFE">
      <w:pPr>
        <w:ind w:left="-142" w:firstLine="142"/>
        <w:jc w:val="both"/>
        <w:rPr>
          <w:rFonts w:ascii="Times New Roman" w:hAnsi="Times New Roman" w:cs="Times New Roman"/>
          <w:color w:val="000000"/>
          <w:sz w:val="20"/>
          <w:szCs w:val="20"/>
          <w:lang w:val="en-GB"/>
        </w:rPr>
      </w:pPr>
      <w:r w:rsidRPr="001B24ED">
        <w:rPr>
          <w:rFonts w:ascii="Times New Roman" w:hAnsi="Times New Roman" w:cs="Times New Roman"/>
          <w:color w:val="000000"/>
          <w:sz w:val="20"/>
          <w:szCs w:val="20"/>
          <w:lang w:val="en-GB"/>
        </w:rPr>
        <w:t>The governing equations solved for the simulation of boiling at nucleation sites include conservation equations for mass, momentum and energy. The mass conservation equation is given as,</w:t>
      </w:r>
    </w:p>
    <w:p w14:paraId="72F3D17F" w14:textId="77777777" w:rsidR="00606FFE" w:rsidRPr="001B24ED" w:rsidRDefault="00606FFE" w:rsidP="00606FFE">
      <w:pPr>
        <w:jc w:val="right"/>
        <w:rPr>
          <w:rFonts w:ascii="Times New Roman" w:eastAsia="Times New Roman" w:hAnsi="Times New Roman" w:cs="Times New Roman"/>
          <w:sz w:val="20"/>
          <w:szCs w:val="20"/>
        </w:rPr>
      </w:pPr>
      <m:oMath>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.u=</m:t>
        </m:r>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v</m:t>
                </m:r>
              </m:e>
            </m:acc>
          </m:e>
          <m:sub>
            <m:r>
              <w:rPr>
                <w:rFonts w:ascii="Cambria Math" w:hAnsi="Cambria Math" w:cs="Times New Roman"/>
                <w:sz w:val="20"/>
                <w:szCs w:val="20"/>
                <w:vertAlign w:val="subscript"/>
              </w:rPr>
              <m:t>pc</m:t>
            </m:r>
          </m:sub>
        </m:sSub>
      </m:oMath>
      <w:r w:rsidRPr="001B24ED">
        <w:rPr>
          <w:rFonts w:ascii="Times New Roman" w:eastAsia="Times New Roman" w:hAnsi="Times New Roman" w:cs="Times New Roman"/>
          <w:sz w:val="20"/>
          <w:szCs w:val="20"/>
        </w:rPr>
        <w:t xml:space="preserve">                    </w:t>
      </w:r>
      <w:r w:rsidRPr="001B24ED">
        <w:rPr>
          <w:rFonts w:ascii="Times New Roman" w:eastAsia="Times New Roman" w:hAnsi="Times New Roman" w:cs="Times New Roman"/>
          <w:sz w:val="20"/>
          <w:szCs w:val="20"/>
        </w:rPr>
        <w:tab/>
        <w:t xml:space="preserve">      (1)</w:t>
      </w:r>
    </w:p>
    <w:p w14:paraId="18AAD941" w14:textId="77777777" w:rsidR="00606FFE" w:rsidRPr="001B24ED" w:rsidRDefault="00606FFE" w:rsidP="00606FFE">
      <w:pPr>
        <w:ind w:left="-142" w:firstLine="142"/>
        <w:jc w:val="both"/>
        <w:rPr>
          <w:rFonts w:ascii="Times New Roman" w:hAnsi="Times New Roman" w:cs="Times New Roman"/>
          <w:sz w:val="20"/>
          <w:szCs w:val="20"/>
        </w:rPr>
      </w:pPr>
      <w:r w:rsidRPr="001B24ED">
        <w:rPr>
          <w:rFonts w:ascii="Times New Roman" w:eastAsia="Times New Roman" w:hAnsi="Times New Roman" w:cs="Times New Roman"/>
          <w:sz w:val="20"/>
          <w:szCs w:val="20"/>
        </w:rPr>
        <w:t xml:space="preserve">Here, the term </w:t>
      </w:r>
      <m:oMath>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v</m:t>
                </m:r>
              </m:e>
            </m:acc>
          </m:e>
          <m:sub>
            <m:r>
              <w:rPr>
                <w:rFonts w:ascii="Cambria Math" w:hAnsi="Cambria Math" w:cs="Times New Roman"/>
                <w:sz w:val="20"/>
                <w:szCs w:val="20"/>
                <w:vertAlign w:val="subscript"/>
              </w:rPr>
              <m:t>pc</m:t>
            </m:r>
          </m:sub>
        </m:sSub>
      </m:oMath>
      <w:r w:rsidRPr="001B24ED">
        <w:rPr>
          <w:rFonts w:ascii="Times New Roman" w:eastAsia="Times New Roman" w:hAnsi="Times New Roman" w:cs="Times New Roman"/>
          <w:sz w:val="20"/>
          <w:szCs w:val="20"/>
        </w:rPr>
        <w:t xml:space="preserve"> is the volume source per unit volume which is the source term used to indicate the dilatation rate which happens due to change of liquid phase to vapour during boiling. </w:t>
      </w:r>
      <m:oMath>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v</m:t>
                </m:r>
              </m:e>
            </m:acc>
          </m:e>
          <m:sub>
            <m:r>
              <w:rPr>
                <w:rFonts w:ascii="Cambria Math" w:hAnsi="Cambria Math" w:cs="Times New Roman"/>
                <w:sz w:val="20"/>
                <w:szCs w:val="20"/>
                <w:vertAlign w:val="subscript"/>
              </w:rPr>
              <m:t>pc</m:t>
            </m:r>
          </m:sub>
        </m:sSub>
      </m:oMath>
      <w:r w:rsidRPr="001B24ED">
        <w:rPr>
          <w:rFonts w:ascii="Times New Roman" w:eastAsia="Times New Roman" w:hAnsi="Times New Roman" w:cs="Times New Roman"/>
          <w:sz w:val="20"/>
          <w:szCs w:val="20"/>
        </w:rPr>
        <w:t xml:space="preserve"> is calculated using the equation given below.                               </w:t>
      </w:r>
    </w:p>
    <w:p w14:paraId="1B4F34C5" w14:textId="77777777" w:rsidR="00606FFE" w:rsidRPr="001B24ED" w:rsidRDefault="00D35B7C" w:rsidP="00606FFE">
      <w:pPr>
        <w:jc w:val="right"/>
        <w:rPr>
          <w:rFonts w:ascii="Times New Roman" w:eastAsia="Times New Roman" w:hAnsi="Times New Roman" w:cs="Times New Roman"/>
          <w:sz w:val="20"/>
          <w:szCs w:val="20"/>
        </w:rPr>
      </w:pPr>
      <m:oMath>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v</m:t>
                </m:r>
              </m:e>
            </m:acc>
          </m:e>
          <m:sub>
            <m:r>
              <w:rPr>
                <w:rFonts w:ascii="Cambria Math" w:hAnsi="Cambria Math" w:cs="Times New Roman"/>
                <w:sz w:val="20"/>
                <w:szCs w:val="20"/>
                <w:vertAlign w:val="subscript"/>
              </w:rPr>
              <m:t>pc</m:t>
            </m:r>
          </m:sub>
        </m:sSub>
        <m:r>
          <w:rPr>
            <w:rFonts w:ascii="Cambria Math" w:hAnsi="Cambria Math" w:cs="Times New Roman"/>
            <w:sz w:val="20"/>
            <w:szCs w:val="20"/>
            <w:vertAlign w:val="subscript"/>
          </w:rPr>
          <m:t>=-</m:t>
        </m:r>
        <m:f>
          <m:fPr>
            <m:ctrlPr>
              <w:rPr>
                <w:rFonts w:ascii="Cambria Math" w:eastAsia="Times New Roman" w:hAnsi="Cambria Math" w:cs="Times New Roman"/>
                <w:i/>
                <w:sz w:val="20"/>
                <w:szCs w:val="20"/>
                <w:vertAlign w:val="subscript"/>
              </w:rPr>
            </m:ctrlPr>
          </m:fPr>
          <m:num>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q</m:t>
                    </m:r>
                  </m:e>
                </m:acc>
              </m:e>
              <m:sub>
                <m:r>
                  <w:rPr>
                    <w:rFonts w:ascii="Cambria Math" w:hAnsi="Cambria Math" w:cs="Times New Roman"/>
                    <w:sz w:val="20"/>
                    <w:szCs w:val="20"/>
                    <w:vertAlign w:val="subscript"/>
                  </w:rPr>
                  <m:t>pc</m:t>
                </m:r>
              </m:sub>
            </m:sSub>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i</m:t>
                </m:r>
              </m:e>
              <m:sub>
                <m:r>
                  <w:rPr>
                    <w:rFonts w:ascii="Cambria Math" w:hAnsi="Cambria Math" w:cs="Times New Roman"/>
                    <w:sz w:val="20"/>
                    <w:szCs w:val="20"/>
                    <w:vertAlign w:val="subscript"/>
                  </w:rPr>
                  <m:t>LV</m:t>
                </m:r>
              </m:sub>
            </m:sSub>
          </m:den>
        </m:f>
        <m:d>
          <m:dPr>
            <m:ctrlPr>
              <w:rPr>
                <w:rFonts w:ascii="Cambria Math" w:hAnsi="Cambria Math" w:cs="Times New Roman"/>
                <w:i/>
                <w:sz w:val="20"/>
                <w:szCs w:val="20"/>
                <w:vertAlign w:val="subscript"/>
              </w:rPr>
            </m:ctrlPr>
          </m:dPr>
          <m:e>
            <m:f>
              <m:fPr>
                <m:ctrlPr>
                  <w:rPr>
                    <w:rFonts w:ascii="Cambria Math" w:eastAsia="Times New Roman" w:hAnsi="Cambria Math" w:cs="Times New Roman"/>
                    <w:i/>
                    <w:sz w:val="20"/>
                    <w:szCs w:val="20"/>
                    <w:vertAlign w:val="subscript"/>
                  </w:rPr>
                </m:ctrlPr>
              </m:fPr>
              <m:num>
                <m:r>
                  <w:rPr>
                    <w:rFonts w:ascii="Cambria Math" w:hAnsi="Cambria Math" w:cs="Times New Roman"/>
                    <w:sz w:val="20"/>
                    <w:szCs w:val="20"/>
                    <w:vertAlign w:val="subscript"/>
                  </w:rPr>
                  <m:t>1</m:t>
                </m:r>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ρ</m:t>
                    </m:r>
                  </m:e>
                  <m:sub>
                    <m:r>
                      <w:rPr>
                        <w:rFonts w:ascii="Cambria Math" w:hAnsi="Cambria Math" w:cs="Times New Roman"/>
                        <w:sz w:val="20"/>
                        <w:szCs w:val="20"/>
                        <w:vertAlign w:val="subscript"/>
                      </w:rPr>
                      <m:t>v</m:t>
                    </m:r>
                  </m:sub>
                </m:sSub>
              </m:den>
            </m:f>
            <m:r>
              <w:rPr>
                <w:rFonts w:ascii="Cambria Math" w:hAnsi="Cambria Math" w:cs="Times New Roman"/>
                <w:sz w:val="20"/>
                <w:szCs w:val="20"/>
                <w:vertAlign w:val="subscript"/>
              </w:rPr>
              <m:t>-</m:t>
            </m:r>
            <m:f>
              <m:fPr>
                <m:ctrlPr>
                  <w:rPr>
                    <w:rFonts w:ascii="Cambria Math" w:eastAsia="Times New Roman" w:hAnsi="Cambria Math" w:cs="Times New Roman"/>
                    <w:i/>
                    <w:sz w:val="20"/>
                    <w:szCs w:val="20"/>
                    <w:vertAlign w:val="subscript"/>
                  </w:rPr>
                </m:ctrlPr>
              </m:fPr>
              <m:num>
                <m:r>
                  <w:rPr>
                    <w:rFonts w:ascii="Cambria Math" w:hAnsi="Cambria Math" w:cs="Times New Roman"/>
                    <w:sz w:val="20"/>
                    <w:szCs w:val="20"/>
                    <w:vertAlign w:val="subscript"/>
                  </w:rPr>
                  <m:t>1</m:t>
                </m:r>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ρ</m:t>
                    </m:r>
                  </m:e>
                  <m:sub>
                    <m:r>
                      <w:rPr>
                        <w:rFonts w:ascii="Cambria Math" w:hAnsi="Cambria Math" w:cs="Times New Roman"/>
                        <w:sz w:val="20"/>
                        <w:szCs w:val="20"/>
                        <w:vertAlign w:val="subscript"/>
                      </w:rPr>
                      <m:t>l</m:t>
                    </m:r>
                  </m:sub>
                </m:sSub>
              </m:den>
            </m:f>
          </m:e>
        </m:d>
      </m:oMath>
      <w:r w:rsidR="00606FFE" w:rsidRPr="001B24ED">
        <w:rPr>
          <w:rFonts w:ascii="Times New Roman" w:eastAsia="Times New Roman" w:hAnsi="Times New Roman" w:cs="Times New Roman"/>
          <w:sz w:val="20"/>
          <w:szCs w:val="20"/>
        </w:rPr>
        <w:tab/>
      </w:r>
      <w:r w:rsidR="00606FFE" w:rsidRPr="001B24ED">
        <w:rPr>
          <w:rFonts w:ascii="Times New Roman" w:eastAsia="Times New Roman" w:hAnsi="Times New Roman" w:cs="Times New Roman"/>
          <w:sz w:val="20"/>
          <w:szCs w:val="20"/>
        </w:rPr>
        <w:tab/>
        <w:t xml:space="preserve"> (2)</w:t>
      </w:r>
    </w:p>
    <w:p w14:paraId="2495667F" w14:textId="77777777" w:rsidR="00606FFE" w:rsidRPr="001B24ED" w:rsidRDefault="00606FFE" w:rsidP="00606FFE">
      <w:pPr>
        <w:jc w:val="both"/>
        <w:rPr>
          <w:rFonts w:ascii="Times New Roman" w:eastAsia="Times New Roman" w:hAnsi="Times New Roman" w:cs="Times New Roman"/>
          <w:sz w:val="20"/>
          <w:szCs w:val="20"/>
        </w:rPr>
      </w:pPr>
      <w:r w:rsidRPr="001B24ED">
        <w:rPr>
          <w:rFonts w:ascii="Times New Roman" w:eastAsia="Times New Roman" w:hAnsi="Times New Roman" w:cs="Times New Roman"/>
          <w:sz w:val="20"/>
          <w:szCs w:val="20"/>
        </w:rPr>
        <w:t xml:space="preserve">Where, </w:t>
      </w:r>
      <m:oMath>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q</m:t>
                </m:r>
              </m:e>
            </m:acc>
          </m:e>
          <m:sub>
            <m:r>
              <w:rPr>
                <w:rFonts w:ascii="Cambria Math" w:hAnsi="Cambria Math" w:cs="Times New Roman"/>
                <w:sz w:val="20"/>
                <w:szCs w:val="20"/>
                <w:vertAlign w:val="subscript"/>
              </w:rPr>
              <m:t>pc</m:t>
            </m:r>
          </m:sub>
        </m:sSub>
      </m:oMath>
      <w:r w:rsidRPr="001B24ED">
        <w:rPr>
          <w:rFonts w:ascii="Times New Roman" w:eastAsia="Times New Roman" w:hAnsi="Times New Roman" w:cs="Times New Roman"/>
          <w:sz w:val="20"/>
          <w:szCs w:val="20"/>
        </w:rPr>
        <w:t xml:space="preserve"> is the heat flux associated with boiling and </w:t>
      </w:r>
      <m:oMath>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i</m:t>
            </m:r>
          </m:e>
          <m:sub>
            <m:r>
              <w:rPr>
                <w:rFonts w:ascii="Cambria Math" w:hAnsi="Cambria Math" w:cs="Times New Roman"/>
                <w:sz w:val="20"/>
                <w:szCs w:val="20"/>
                <w:vertAlign w:val="subscript"/>
              </w:rPr>
              <m:t>LV</m:t>
            </m:r>
          </m:sub>
        </m:sSub>
      </m:oMath>
      <w:r w:rsidRPr="001B24ED">
        <w:rPr>
          <w:rFonts w:ascii="Times New Roman" w:eastAsia="Times New Roman" w:hAnsi="Times New Roman" w:cs="Times New Roman"/>
          <w:sz w:val="20"/>
          <w:szCs w:val="20"/>
        </w:rPr>
        <w:t xml:space="preserve"> is the enthalpy due to phase change. </w:t>
      </w:r>
    </w:p>
    <w:p w14:paraId="0594FFB7" w14:textId="77777777" w:rsidR="00606FFE" w:rsidRPr="001B24ED" w:rsidRDefault="00606FFE" w:rsidP="00606FFE">
      <w:pPr>
        <w:jc w:val="both"/>
        <w:rPr>
          <w:rFonts w:ascii="Times New Roman" w:hAnsi="Times New Roman" w:cs="Times New Roman"/>
          <w:sz w:val="20"/>
          <w:szCs w:val="20"/>
        </w:rPr>
      </w:pPr>
      <w:r w:rsidRPr="001B24ED">
        <w:rPr>
          <w:rFonts w:ascii="Times New Roman" w:eastAsia="Times New Roman" w:hAnsi="Times New Roman" w:cs="Times New Roman"/>
          <w:sz w:val="20"/>
          <w:szCs w:val="20"/>
        </w:rPr>
        <w:t>The conservation equation for momentum is given as:</w:t>
      </w:r>
    </w:p>
    <w:p w14:paraId="4022D47D" w14:textId="77777777" w:rsidR="00606FFE" w:rsidRPr="001B24ED" w:rsidRDefault="00D35B7C" w:rsidP="00606FFE">
      <w:pPr>
        <w:jc w:val="right"/>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vertAlign w:val="subscript"/>
              </w:rPr>
            </m:ctrlPr>
          </m:fPr>
          <m:num>
            <m:r>
              <w:rPr>
                <w:rFonts w:ascii="Cambria Math" w:hAnsi="Cambria Math" w:cs="Times New Roman"/>
                <w:sz w:val="20"/>
                <w:szCs w:val="20"/>
                <w:vertAlign w:val="subscript"/>
              </w:rPr>
              <m:t>∂(ρu)</m:t>
            </m:r>
          </m:num>
          <m:den>
            <m:r>
              <w:rPr>
                <w:rFonts w:ascii="Cambria Math" w:hAnsi="Cambria Math" w:cs="Times New Roman"/>
                <w:sz w:val="20"/>
                <w:szCs w:val="20"/>
                <w:vertAlign w:val="subscript"/>
              </w:rPr>
              <m:t>∂t</m:t>
            </m:r>
          </m:den>
        </m:f>
        <m:r>
          <w:rPr>
            <w:rFonts w:ascii="Cambria Math" w:hAnsi="Cambria Math" w:cs="Times New Roman"/>
            <w:sz w:val="20"/>
            <w:szCs w:val="20"/>
            <w:vertAlign w:val="subscript"/>
          </w:rPr>
          <m:t>+</m:t>
        </m:r>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m:t>
        </m:r>
        <m:d>
          <m:dPr>
            <m:ctrlPr>
              <w:rPr>
                <w:rFonts w:ascii="Cambria Math" w:hAnsi="Cambria Math" w:cs="Times New Roman"/>
                <w:i/>
                <w:sz w:val="20"/>
                <w:szCs w:val="20"/>
                <w:vertAlign w:val="subscript"/>
              </w:rPr>
            </m:ctrlPr>
          </m:dPr>
          <m:e>
            <m:r>
              <w:rPr>
                <w:rFonts w:ascii="Cambria Math" w:hAnsi="Cambria Math" w:cs="Times New Roman"/>
                <w:sz w:val="20"/>
                <w:szCs w:val="20"/>
                <w:vertAlign w:val="subscript"/>
              </w:rPr>
              <m:t>ρuu</m:t>
            </m:r>
          </m:e>
        </m:d>
        <m:r>
          <w:rPr>
            <w:rFonts w:ascii="Cambria Math" w:hAnsi="Cambria Math" w:cs="Times New Roman"/>
            <w:sz w:val="20"/>
            <w:szCs w:val="20"/>
            <w:vertAlign w:val="subscript"/>
          </w:rPr>
          <m:t>=-</m:t>
        </m:r>
        <m:r>
          <m:rPr>
            <m:sty m:val="p"/>
          </m:rPr>
          <w:rPr>
            <w:rFonts w:ascii="Cambria Math" w:hAnsi="Cambria Math" w:cs="Times New Roman"/>
            <w:sz w:val="20"/>
            <w:szCs w:val="20"/>
            <w:vertAlign w:val="subscript"/>
          </w:rPr>
          <m:t>∇</m:t>
        </m:r>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p</m:t>
            </m:r>
          </m:e>
          <m:sup>
            <m:r>
              <w:rPr>
                <w:rFonts w:ascii="Cambria Math" w:hAnsi="Cambria Math" w:cs="Times New Roman"/>
                <w:sz w:val="20"/>
                <w:szCs w:val="20"/>
                <w:vertAlign w:val="subscript"/>
              </w:rPr>
              <m:t>'</m:t>
            </m:r>
          </m:sup>
        </m:sSup>
        <m:r>
          <w:rPr>
            <w:rFonts w:ascii="Cambria Math" w:hAnsi="Cambria Math" w:cs="Times New Roman"/>
            <w:sz w:val="20"/>
            <w:szCs w:val="20"/>
            <w:vertAlign w:val="subscript"/>
          </w:rPr>
          <m:t>+</m:t>
        </m:r>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.τ+</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c</m:t>
            </m:r>
          </m:e>
          <m:sub>
            <m:r>
              <w:rPr>
                <w:rFonts w:ascii="Cambria Math" w:hAnsi="Cambria Math" w:cs="Times New Roman"/>
                <w:sz w:val="20"/>
                <w:szCs w:val="20"/>
                <w:vertAlign w:val="subscript"/>
              </w:rPr>
              <m:t>hsp</m:t>
            </m:r>
          </m:sub>
        </m:sSub>
        <m:r>
          <w:rPr>
            <w:rFonts w:ascii="Cambria Math" w:hAnsi="Cambria Math" w:cs="Times New Roman"/>
            <w:sz w:val="20"/>
            <w:szCs w:val="20"/>
            <w:vertAlign w:val="subscript"/>
          </w:rPr>
          <m:t>ρg+</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f</m:t>
            </m:r>
          </m:e>
          <m:sub>
            <m:r>
              <w:rPr>
                <w:rFonts w:ascii="Cambria Math" w:hAnsi="Cambria Math" w:cs="Times New Roman"/>
                <w:sz w:val="20"/>
                <w:szCs w:val="20"/>
                <w:vertAlign w:val="subscript"/>
              </w:rPr>
              <m:t>σ</m:t>
            </m:r>
          </m:sub>
        </m:sSub>
      </m:oMath>
      <w:r w:rsidR="00606FFE" w:rsidRPr="001B24ED">
        <w:rPr>
          <w:rFonts w:ascii="Times New Roman" w:eastAsia="Times New Roman" w:hAnsi="Times New Roman" w:cs="Times New Roman"/>
          <w:sz w:val="20"/>
          <w:szCs w:val="20"/>
        </w:rPr>
        <w:t xml:space="preserve">     (3)</w:t>
      </w:r>
    </w:p>
    <w:p w14:paraId="00D9A1CA" w14:textId="77777777" w:rsidR="00606FFE" w:rsidRPr="001B24ED" w:rsidRDefault="00606FFE" w:rsidP="00606FFE">
      <w:pPr>
        <w:jc w:val="both"/>
        <w:rPr>
          <w:rFonts w:ascii="Times New Roman" w:eastAsia="Times New Roman" w:hAnsi="Times New Roman" w:cs="Times New Roman"/>
          <w:sz w:val="20"/>
          <w:szCs w:val="20"/>
        </w:rPr>
      </w:pPr>
      <w:r w:rsidRPr="001B24ED">
        <w:rPr>
          <w:rFonts w:ascii="Times New Roman" w:eastAsia="Times New Roman" w:hAnsi="Times New Roman" w:cs="Times New Roman"/>
          <w:sz w:val="20"/>
          <w:szCs w:val="20"/>
        </w:rPr>
        <w:t xml:space="preserve">where, </w:t>
      </w:r>
      <m:oMath>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f</m:t>
            </m:r>
          </m:e>
          <m:sub>
            <m:r>
              <w:rPr>
                <w:rFonts w:ascii="Cambria Math" w:hAnsi="Cambria Math" w:cs="Times New Roman"/>
                <w:sz w:val="20"/>
                <w:szCs w:val="20"/>
                <w:vertAlign w:val="subscript"/>
              </w:rPr>
              <m:t>σ</m:t>
            </m:r>
          </m:sub>
        </m:sSub>
      </m:oMath>
      <w:r w:rsidRPr="001B24ED">
        <w:rPr>
          <w:rFonts w:ascii="Times New Roman" w:eastAsia="Times New Roman" w:hAnsi="Times New Roman" w:cs="Times New Roman"/>
          <w:sz w:val="20"/>
          <w:szCs w:val="20"/>
        </w:rPr>
        <w:t xml:space="preserve">  is the surface tension force near the interface.</w:t>
      </w:r>
    </w:p>
    <w:p w14:paraId="14C123BA" w14:textId="77777777" w:rsidR="00606FFE" w:rsidRPr="001B24ED" w:rsidRDefault="00606FFE" w:rsidP="00606FFE">
      <w:pPr>
        <w:jc w:val="both"/>
        <w:rPr>
          <w:rFonts w:ascii="Times New Roman" w:eastAsia="Times New Roman" w:hAnsi="Times New Roman" w:cs="Times New Roman"/>
          <w:sz w:val="20"/>
          <w:szCs w:val="20"/>
        </w:rPr>
      </w:pPr>
      <w:r w:rsidRPr="001B24ED">
        <w:rPr>
          <w:rFonts w:ascii="Times New Roman" w:eastAsia="Times New Roman" w:hAnsi="Times New Roman" w:cs="Times New Roman"/>
          <w:sz w:val="20"/>
          <w:szCs w:val="20"/>
        </w:rPr>
        <w:t>To solve for the enthalpy, the thermal energy equation is used. The thermal energy equation is given by,</w:t>
      </w:r>
    </w:p>
    <w:p w14:paraId="50844AF2" w14:textId="77777777" w:rsidR="00606FFE" w:rsidRPr="001B24ED" w:rsidRDefault="00D35B7C" w:rsidP="00606FFE">
      <w:pPr>
        <w:jc w:val="right"/>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vertAlign w:val="subscript"/>
              </w:rPr>
            </m:ctrlPr>
          </m:fPr>
          <m:num>
            <m:r>
              <w:rPr>
                <w:rFonts w:ascii="Cambria Math" w:hAnsi="Cambria Math" w:cs="Times New Roman"/>
                <w:sz w:val="20"/>
                <w:szCs w:val="20"/>
                <w:vertAlign w:val="subscript"/>
              </w:rPr>
              <m:t>∂(ρi)</m:t>
            </m:r>
          </m:num>
          <m:den>
            <m:r>
              <w:rPr>
                <w:rFonts w:ascii="Cambria Math" w:hAnsi="Cambria Math" w:cs="Times New Roman"/>
                <w:sz w:val="20"/>
                <w:szCs w:val="20"/>
                <w:vertAlign w:val="subscript"/>
              </w:rPr>
              <m:t>∂t</m:t>
            </m:r>
          </m:den>
        </m:f>
        <m:r>
          <w:rPr>
            <w:rFonts w:ascii="Cambria Math" w:hAnsi="Cambria Math" w:cs="Times New Roman"/>
            <w:sz w:val="20"/>
            <w:szCs w:val="20"/>
            <w:vertAlign w:val="subscript"/>
          </w:rPr>
          <m:t>+</m:t>
        </m:r>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m:t>
        </m:r>
        <m:d>
          <m:dPr>
            <m:ctrlPr>
              <w:rPr>
                <w:rFonts w:ascii="Cambria Math" w:hAnsi="Cambria Math" w:cs="Times New Roman"/>
                <w:i/>
                <w:sz w:val="20"/>
                <w:szCs w:val="20"/>
                <w:vertAlign w:val="subscript"/>
              </w:rPr>
            </m:ctrlPr>
          </m:dPr>
          <m:e>
            <m:r>
              <w:rPr>
                <w:rFonts w:ascii="Cambria Math" w:hAnsi="Cambria Math" w:cs="Times New Roman"/>
                <w:sz w:val="20"/>
                <w:szCs w:val="20"/>
                <w:vertAlign w:val="subscript"/>
              </w:rPr>
              <m:t>ρui</m:t>
            </m:r>
          </m:e>
        </m:d>
        <m:r>
          <w:rPr>
            <w:rFonts w:ascii="Cambria Math" w:hAnsi="Cambria Math" w:cs="Times New Roman"/>
            <w:sz w:val="20"/>
            <w:szCs w:val="20"/>
            <w:vertAlign w:val="subscript"/>
          </w:rPr>
          <m:t>=</m:t>
        </m:r>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m:t>
        </m:r>
        <m:d>
          <m:dPr>
            <m:ctrlPr>
              <w:rPr>
                <w:rFonts w:ascii="Cambria Math" w:hAnsi="Cambria Math" w:cs="Times New Roman"/>
                <w:i/>
                <w:sz w:val="20"/>
                <w:szCs w:val="20"/>
                <w:vertAlign w:val="subscript"/>
              </w:rPr>
            </m:ctrlPr>
          </m:dPr>
          <m:e>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k</m:t>
                </m:r>
              </m:e>
              <m:sub>
                <m:r>
                  <w:rPr>
                    <w:rFonts w:ascii="Cambria Math" w:hAnsi="Cambria Math" w:cs="Times New Roman"/>
                    <w:sz w:val="20"/>
                    <w:szCs w:val="20"/>
                    <w:vertAlign w:val="subscript"/>
                  </w:rPr>
                  <m:t>eff</m:t>
                </m:r>
              </m:sub>
            </m:sSub>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T</m:t>
            </m:r>
          </m:e>
        </m:d>
        <m:r>
          <w:rPr>
            <w:rFonts w:ascii="Cambria Math" w:hAnsi="Cambria Math" w:cs="Times New Roman"/>
            <w:sz w:val="20"/>
            <w:szCs w:val="20"/>
            <w:vertAlign w:val="subscript"/>
          </w:rPr>
          <m:t>-</m:t>
        </m:r>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q</m:t>
                </m:r>
              </m:e>
            </m:acc>
          </m:e>
          <m:sub>
            <m:r>
              <w:rPr>
                <w:rFonts w:ascii="Cambria Math" w:hAnsi="Cambria Math" w:cs="Times New Roman"/>
                <w:sz w:val="20"/>
                <w:szCs w:val="20"/>
                <w:vertAlign w:val="subscript"/>
              </w:rPr>
              <m:t xml:space="preserve">pc </m:t>
            </m:r>
          </m:sub>
        </m:sSub>
      </m:oMath>
      <w:r w:rsidR="00606FFE" w:rsidRPr="001B24ED">
        <w:rPr>
          <w:rFonts w:ascii="Times New Roman" w:eastAsia="Times New Roman" w:hAnsi="Times New Roman" w:cs="Times New Roman"/>
          <w:sz w:val="20"/>
          <w:szCs w:val="20"/>
        </w:rPr>
        <w:tab/>
        <w:t>(4)</w:t>
      </w:r>
    </w:p>
    <w:p w14:paraId="0A7D1FC9" w14:textId="77777777" w:rsidR="00606FFE" w:rsidRPr="001B24ED" w:rsidRDefault="00D35B7C" w:rsidP="00606FFE">
      <w:pPr>
        <w:jc w:val="both"/>
        <w:rPr>
          <w:rFonts w:ascii="Times New Roman" w:eastAsia="Times New Roman" w:hAnsi="Times New Roman" w:cs="Times New Roman"/>
          <w:sz w:val="20"/>
          <w:szCs w:val="20"/>
        </w:rPr>
      </w:pPr>
      <m:oMath>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α</m:t>
            </m:r>
          </m:e>
          <m:sub>
            <m:r>
              <w:rPr>
                <w:rFonts w:ascii="Cambria Math" w:hAnsi="Cambria Math" w:cs="Times New Roman"/>
                <w:sz w:val="20"/>
                <w:szCs w:val="20"/>
                <w:vertAlign w:val="subscript"/>
              </w:rPr>
              <m:t>l</m:t>
            </m:r>
          </m:sub>
        </m:sSub>
      </m:oMath>
      <w:r w:rsidR="00606FFE" w:rsidRPr="001B24ED">
        <w:rPr>
          <w:rFonts w:ascii="Times New Roman" w:eastAsia="Times New Roman" w:hAnsi="Times New Roman" w:cs="Times New Roman"/>
          <w:sz w:val="20"/>
          <w:szCs w:val="20"/>
        </w:rPr>
        <w:t xml:space="preserve"> is the phase fraction field and is evaluated by using transport equation given in equation (</w:t>
      </w:r>
      <w:proofErr w:type="gramStart"/>
      <w:r w:rsidR="00606FFE" w:rsidRPr="001B24ED">
        <w:rPr>
          <w:rFonts w:ascii="Times New Roman" w:eastAsia="Times New Roman" w:hAnsi="Times New Roman" w:cs="Times New Roman"/>
          <w:sz w:val="20"/>
          <w:szCs w:val="20"/>
        </w:rPr>
        <w:t>5).</w:t>
      </w:r>
      <w:proofErr w:type="gramEnd"/>
    </w:p>
    <w:p w14:paraId="3B1BF13A" w14:textId="77777777" w:rsidR="00606FFE" w:rsidRPr="001B24ED" w:rsidRDefault="00D35B7C" w:rsidP="00606FFE">
      <w:pPr>
        <w:jc w:val="right"/>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vertAlign w:val="subscript"/>
              </w:rPr>
            </m:ctrlPr>
          </m:fPr>
          <m:num>
            <m:r>
              <w:rPr>
                <w:rFonts w:ascii="Cambria Math" w:hAnsi="Cambria Math" w:cs="Times New Roman"/>
                <w:sz w:val="20"/>
                <w:szCs w:val="20"/>
                <w:vertAlign w:val="subscript"/>
              </w:rPr>
              <m:t>∂(</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α</m:t>
                </m:r>
              </m:e>
              <m:sub>
                <m:r>
                  <w:rPr>
                    <w:rFonts w:ascii="Cambria Math" w:hAnsi="Cambria Math" w:cs="Times New Roman"/>
                    <w:sz w:val="20"/>
                    <w:szCs w:val="20"/>
                    <w:vertAlign w:val="subscript"/>
                  </w:rPr>
                  <m:t>l</m:t>
                </m:r>
              </m:sub>
            </m:sSub>
            <m:r>
              <w:rPr>
                <w:rFonts w:ascii="Cambria Math" w:hAnsi="Cambria Math" w:cs="Times New Roman"/>
                <w:sz w:val="20"/>
                <w:szCs w:val="20"/>
                <w:vertAlign w:val="subscript"/>
              </w:rPr>
              <m:t>)</m:t>
            </m:r>
          </m:num>
          <m:den>
            <m:r>
              <w:rPr>
                <w:rFonts w:ascii="Cambria Math" w:hAnsi="Cambria Math" w:cs="Times New Roman"/>
                <w:sz w:val="20"/>
                <w:szCs w:val="20"/>
                <w:vertAlign w:val="subscript"/>
              </w:rPr>
              <m:t>∂t</m:t>
            </m:r>
          </m:den>
        </m:f>
        <m:r>
          <w:rPr>
            <w:rFonts w:ascii="Cambria Math" w:hAnsi="Cambria Math" w:cs="Times New Roman"/>
            <w:sz w:val="20"/>
            <w:szCs w:val="20"/>
            <w:vertAlign w:val="subscript"/>
          </w:rPr>
          <m:t>+</m:t>
        </m:r>
        <m:r>
          <m:rPr>
            <m:sty m:val="p"/>
          </m:rPr>
          <w:rPr>
            <w:rFonts w:ascii="Cambria Math" w:hAnsi="Cambria Math" w:cs="Times New Roman"/>
            <w:sz w:val="20"/>
            <w:szCs w:val="20"/>
            <w:vertAlign w:val="subscript"/>
          </w:rPr>
          <m:t>∇</m:t>
        </m:r>
        <m:r>
          <w:rPr>
            <w:rFonts w:ascii="Cambria Math" w:hAnsi="Cambria Math" w:cs="Times New Roman"/>
            <w:sz w:val="20"/>
            <w:szCs w:val="20"/>
            <w:vertAlign w:val="subscript"/>
          </w:rPr>
          <m:t>.</m:t>
        </m:r>
        <m:d>
          <m:dPr>
            <m:ctrlPr>
              <w:rPr>
                <w:rFonts w:ascii="Cambria Math" w:hAnsi="Cambria Math" w:cs="Times New Roman"/>
                <w:i/>
                <w:sz w:val="20"/>
                <w:szCs w:val="20"/>
                <w:vertAlign w:val="subscript"/>
              </w:rPr>
            </m:ctrlPr>
          </m:dPr>
          <m:e>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u</m:t>
                </m:r>
              </m:e>
              <m:sup>
                <m:r>
                  <w:rPr>
                    <w:rFonts w:ascii="Cambria Math" w:hAnsi="Cambria Math" w:cs="Times New Roman"/>
                    <w:sz w:val="20"/>
                    <w:szCs w:val="20"/>
                    <w:vertAlign w:val="subscript"/>
                  </w:rPr>
                  <m:t>*</m:t>
                </m:r>
              </m:sup>
            </m:sSup>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α</m:t>
                </m:r>
              </m:e>
              <m:sub>
                <m:r>
                  <w:rPr>
                    <w:rFonts w:ascii="Cambria Math" w:hAnsi="Cambria Math" w:cs="Times New Roman"/>
                    <w:sz w:val="20"/>
                    <w:szCs w:val="20"/>
                    <w:vertAlign w:val="subscript"/>
                  </w:rPr>
                  <m:t>l</m:t>
                </m:r>
              </m:sub>
            </m:sSub>
          </m:e>
        </m:d>
        <m:r>
          <w:rPr>
            <w:rFonts w:ascii="Cambria Math" w:hAnsi="Cambria Math" w:cs="Times New Roman"/>
            <w:sz w:val="20"/>
            <w:szCs w:val="20"/>
            <w:vertAlign w:val="subscript"/>
          </w:rPr>
          <m:t>=-</m:t>
        </m:r>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α</m:t>
                </m:r>
              </m:e>
            </m:acc>
          </m:e>
          <m:sub>
            <m:r>
              <w:rPr>
                <w:rFonts w:ascii="Cambria Math" w:hAnsi="Cambria Math" w:cs="Times New Roman"/>
                <w:sz w:val="20"/>
                <w:szCs w:val="20"/>
                <w:vertAlign w:val="subscript"/>
              </w:rPr>
              <m:t xml:space="preserve">l,pc </m:t>
            </m:r>
          </m:sub>
        </m:sSub>
      </m:oMath>
      <w:r w:rsidR="00606FFE" w:rsidRPr="001B24ED">
        <w:rPr>
          <w:rFonts w:ascii="Times New Roman" w:eastAsia="Times New Roman" w:hAnsi="Times New Roman" w:cs="Times New Roman"/>
          <w:sz w:val="20"/>
          <w:szCs w:val="20"/>
        </w:rPr>
        <w:t xml:space="preserve"> </w:t>
      </w:r>
      <w:r w:rsidR="00606FFE" w:rsidRPr="001B24ED">
        <w:rPr>
          <w:rFonts w:ascii="Times New Roman" w:eastAsia="Times New Roman" w:hAnsi="Times New Roman" w:cs="Times New Roman"/>
          <w:sz w:val="20"/>
          <w:szCs w:val="20"/>
        </w:rPr>
        <w:tab/>
        <w:t xml:space="preserve">             (5)</w:t>
      </w:r>
    </w:p>
    <w:p w14:paraId="54C81CF6" w14:textId="77777777" w:rsidR="00606FFE" w:rsidRPr="001B24ED" w:rsidRDefault="00606FFE" w:rsidP="00606FFE">
      <w:pPr>
        <w:jc w:val="both"/>
        <w:rPr>
          <w:rFonts w:ascii="Times New Roman" w:hAnsi="Times New Roman" w:cs="Times New Roman"/>
          <w:sz w:val="20"/>
          <w:szCs w:val="20"/>
        </w:rPr>
      </w:pPr>
      <w:r w:rsidRPr="001B24ED">
        <w:rPr>
          <w:rFonts w:ascii="Times New Roman" w:eastAsia="Times New Roman" w:hAnsi="Times New Roman" w:cs="Times New Roman"/>
          <w:sz w:val="20"/>
          <w:szCs w:val="20"/>
        </w:rPr>
        <w:t xml:space="preserve">where, </w:t>
      </w:r>
      <m:oMath>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α</m:t>
                </m:r>
              </m:e>
            </m:acc>
          </m:e>
          <m:sub>
            <m:r>
              <w:rPr>
                <w:rFonts w:ascii="Cambria Math" w:hAnsi="Cambria Math" w:cs="Times New Roman"/>
                <w:sz w:val="20"/>
                <w:szCs w:val="20"/>
                <w:vertAlign w:val="subscript"/>
              </w:rPr>
              <m:t>l,pc</m:t>
            </m:r>
          </m:sub>
        </m:sSub>
      </m:oMath>
      <w:r w:rsidRPr="001B24ED">
        <w:rPr>
          <w:rFonts w:ascii="Times New Roman" w:eastAsia="Times New Roman" w:hAnsi="Times New Roman" w:cs="Times New Roman"/>
          <w:sz w:val="20"/>
          <w:szCs w:val="20"/>
        </w:rPr>
        <w:t xml:space="preserve"> is the phase fraction source term and is calculated as:</w:t>
      </w:r>
    </w:p>
    <w:p w14:paraId="0133B325" w14:textId="77777777" w:rsidR="00606FFE" w:rsidRPr="001B24ED" w:rsidRDefault="00D35B7C" w:rsidP="00606FFE">
      <w:pPr>
        <w:jc w:val="right"/>
        <w:rPr>
          <w:rFonts w:ascii="Times New Roman" w:eastAsia="Times New Roman" w:hAnsi="Times New Roman" w:cs="Times New Roman"/>
          <w:sz w:val="20"/>
          <w:szCs w:val="20"/>
        </w:rPr>
      </w:pPr>
      <m:oMath>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α</m:t>
                </m:r>
              </m:e>
            </m:acc>
          </m:e>
          <m:sub>
            <m:r>
              <w:rPr>
                <w:rFonts w:ascii="Cambria Math" w:hAnsi="Cambria Math" w:cs="Times New Roman"/>
                <w:sz w:val="20"/>
                <w:szCs w:val="20"/>
                <w:vertAlign w:val="subscript"/>
              </w:rPr>
              <m:t>l,pc</m:t>
            </m:r>
          </m:sub>
        </m:sSub>
        <m:r>
          <w:rPr>
            <w:rFonts w:ascii="Cambria Math" w:hAnsi="Cambria Math" w:cs="Times New Roman"/>
            <w:sz w:val="20"/>
            <w:szCs w:val="20"/>
            <w:vertAlign w:val="subscript"/>
          </w:rPr>
          <m:t>=-</m:t>
        </m:r>
        <m:f>
          <m:fPr>
            <m:ctrlPr>
              <w:rPr>
                <w:rFonts w:ascii="Cambria Math" w:eastAsia="Times New Roman" w:hAnsi="Cambria Math" w:cs="Times New Roman"/>
                <w:i/>
                <w:sz w:val="20"/>
                <w:szCs w:val="20"/>
                <w:vertAlign w:val="subscript"/>
              </w:rPr>
            </m:ctrlPr>
          </m:fPr>
          <m:num>
            <m:sSub>
              <m:sSubPr>
                <m:ctrlPr>
                  <w:rPr>
                    <w:rFonts w:ascii="Cambria Math" w:hAnsi="Cambria Math" w:cs="Times New Roman"/>
                    <w:i/>
                    <w:sz w:val="20"/>
                    <w:szCs w:val="20"/>
                    <w:vertAlign w:val="subscript"/>
                  </w:rPr>
                </m:ctrlPr>
              </m:sSubPr>
              <m:e>
                <m:acc>
                  <m:accPr>
                    <m:chr m:val="̇"/>
                    <m:ctrlPr>
                      <w:rPr>
                        <w:rFonts w:ascii="Cambria Math" w:eastAsia="Times New Roman" w:hAnsi="Cambria Math" w:cs="Times New Roman"/>
                        <w:i/>
                        <w:sz w:val="20"/>
                        <w:szCs w:val="20"/>
                        <w:vertAlign w:val="subscript"/>
                      </w:rPr>
                    </m:ctrlPr>
                  </m:accPr>
                  <m:e>
                    <m:r>
                      <w:rPr>
                        <w:rFonts w:ascii="Cambria Math" w:hAnsi="Cambria Math" w:cs="Times New Roman"/>
                        <w:sz w:val="20"/>
                        <w:szCs w:val="20"/>
                        <w:vertAlign w:val="subscript"/>
                      </w:rPr>
                      <m:t>q</m:t>
                    </m:r>
                  </m:e>
                </m:acc>
              </m:e>
              <m:sub>
                <m:r>
                  <w:rPr>
                    <w:rFonts w:ascii="Cambria Math" w:hAnsi="Cambria Math" w:cs="Times New Roman"/>
                    <w:sz w:val="20"/>
                    <w:szCs w:val="20"/>
                    <w:vertAlign w:val="subscript"/>
                  </w:rPr>
                  <m:t>pc</m:t>
                </m:r>
              </m:sub>
            </m:sSub>
          </m:num>
          <m:den>
            <m:r>
              <w:rPr>
                <w:rFonts w:ascii="Cambria Math" w:eastAsia="Times New Roman" w:hAnsi="Cambria Math" w:cs="Times New Roman"/>
                <w:sz w:val="20"/>
                <w:szCs w:val="20"/>
                <w:vertAlign w:val="subscript"/>
              </w:rPr>
              <m:t>ρ</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i</m:t>
                </m:r>
              </m:e>
              <m:sub>
                <m:r>
                  <w:rPr>
                    <w:rFonts w:ascii="Cambria Math" w:hAnsi="Cambria Math" w:cs="Times New Roman"/>
                    <w:sz w:val="20"/>
                    <w:szCs w:val="20"/>
                    <w:vertAlign w:val="subscript"/>
                  </w:rPr>
                  <m:t>LV</m:t>
                </m:r>
              </m:sub>
            </m:sSub>
          </m:den>
        </m:f>
      </m:oMath>
      <w:r w:rsidR="00606FFE" w:rsidRPr="001B24ED">
        <w:rPr>
          <w:rFonts w:ascii="Times New Roman" w:eastAsia="Times New Roman" w:hAnsi="Times New Roman" w:cs="Times New Roman"/>
          <w:sz w:val="20"/>
          <w:szCs w:val="20"/>
        </w:rPr>
        <w:t xml:space="preserve"> </w:t>
      </w:r>
      <w:r w:rsidR="00606FFE" w:rsidRPr="001B24ED">
        <w:rPr>
          <w:rFonts w:ascii="Times New Roman" w:eastAsia="Times New Roman" w:hAnsi="Times New Roman" w:cs="Times New Roman"/>
          <w:sz w:val="20"/>
          <w:szCs w:val="20"/>
        </w:rPr>
        <w:tab/>
      </w:r>
      <w:r w:rsidR="00606FFE" w:rsidRPr="001B24ED">
        <w:rPr>
          <w:rFonts w:ascii="Times New Roman" w:eastAsia="Times New Roman" w:hAnsi="Times New Roman" w:cs="Times New Roman"/>
          <w:sz w:val="20"/>
          <w:szCs w:val="20"/>
        </w:rPr>
        <w:tab/>
      </w:r>
      <w:r w:rsidR="00606FFE" w:rsidRPr="001B24ED">
        <w:rPr>
          <w:rFonts w:ascii="Times New Roman" w:eastAsia="Times New Roman" w:hAnsi="Times New Roman" w:cs="Times New Roman"/>
          <w:sz w:val="20"/>
          <w:szCs w:val="20"/>
        </w:rPr>
        <w:tab/>
        <w:t xml:space="preserve">      (6)</w:t>
      </w:r>
    </w:p>
    <w:p w14:paraId="47ECDACB" w14:textId="77777777" w:rsidR="00606FFE" w:rsidRPr="001B24ED" w:rsidRDefault="00606FFE" w:rsidP="00606FFE">
      <w:pPr>
        <w:jc w:val="both"/>
        <w:rPr>
          <w:rFonts w:ascii="Times New Roman" w:hAnsi="Times New Roman" w:cs="Times New Roman"/>
          <w:sz w:val="20"/>
          <w:szCs w:val="20"/>
        </w:rPr>
      </w:pPr>
      <w:r w:rsidRPr="001B24ED">
        <w:rPr>
          <w:rFonts w:ascii="Times New Roman" w:hAnsi="Times New Roman" w:cs="Times New Roman"/>
          <w:sz w:val="20"/>
          <w:szCs w:val="20"/>
        </w:rPr>
        <w:t xml:space="preserve">The fluid properties like density (ρ), viscosity (µ) are calculated by taking weighted averages of liquid and vapour phases.  </w:t>
      </w:r>
    </w:p>
    <w:p w14:paraId="64927902" w14:textId="77777777" w:rsidR="00606FFE" w:rsidRPr="001B24ED" w:rsidRDefault="00606FFE" w:rsidP="00606FFE">
      <w:pPr>
        <w:jc w:val="right"/>
        <w:rPr>
          <w:rFonts w:ascii="Times New Roman" w:hAnsi="Times New Roman" w:cs="Times New Roman"/>
          <w:sz w:val="20"/>
          <w:szCs w:val="20"/>
        </w:rPr>
      </w:pPr>
      <m:oMath>
        <m:r>
          <w:rPr>
            <w:rFonts w:ascii="Cambria Math" w:hAnsi="Cambria Math" w:cs="Times New Roman"/>
            <w:sz w:val="20"/>
            <w:szCs w:val="20"/>
            <w:vertAlign w:val="subscript"/>
          </w:rPr>
          <m:t>ρ=</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ρ</m:t>
            </m:r>
          </m:e>
          <m:sub>
            <m:r>
              <w:rPr>
                <w:rFonts w:ascii="Cambria Math" w:hAnsi="Cambria Math" w:cs="Times New Roman"/>
                <w:sz w:val="20"/>
                <w:szCs w:val="20"/>
                <w:vertAlign w:val="subscript"/>
              </w:rPr>
              <m:t>l</m:t>
            </m:r>
          </m:sub>
        </m:sSub>
        <m:r>
          <w:rPr>
            <w:rFonts w:ascii="Cambria Math" w:hAnsi="Cambria Math" w:cs="Times New Roman"/>
            <w:sz w:val="20"/>
            <w:szCs w:val="20"/>
            <w:vertAlign w:val="subscript"/>
          </w:rPr>
          <m:t>α+</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ρ</m:t>
            </m:r>
          </m:e>
          <m:sub>
            <m:r>
              <w:rPr>
                <w:rFonts w:ascii="Cambria Math" w:hAnsi="Cambria Math" w:cs="Times New Roman"/>
                <w:sz w:val="20"/>
                <w:szCs w:val="20"/>
                <w:vertAlign w:val="subscript"/>
              </w:rPr>
              <m:t>g</m:t>
            </m:r>
          </m:sub>
        </m:sSub>
        <m:r>
          <w:rPr>
            <w:rFonts w:ascii="Cambria Math" w:hAnsi="Cambria Math" w:cs="Times New Roman"/>
            <w:sz w:val="20"/>
            <w:szCs w:val="20"/>
            <w:vertAlign w:val="subscript"/>
          </w:rPr>
          <m:t>(1-α)</m:t>
        </m:r>
      </m:oMath>
      <w:r w:rsidRPr="001B24ED">
        <w:rPr>
          <w:rFonts w:ascii="Times New Roman" w:eastAsia="Times New Roman" w:hAnsi="Times New Roman" w:cs="Times New Roman"/>
          <w:sz w:val="20"/>
          <w:szCs w:val="20"/>
        </w:rPr>
        <w:tab/>
      </w:r>
      <w:r w:rsidRPr="001B24ED">
        <w:rPr>
          <w:rFonts w:ascii="Times New Roman" w:eastAsia="Times New Roman" w:hAnsi="Times New Roman" w:cs="Times New Roman"/>
          <w:sz w:val="20"/>
          <w:szCs w:val="20"/>
        </w:rPr>
        <w:tab/>
        <w:t xml:space="preserve">      (7)</w:t>
      </w:r>
    </w:p>
    <w:p w14:paraId="27324628" w14:textId="77777777" w:rsidR="00606FFE" w:rsidRPr="001B24ED" w:rsidRDefault="00606FFE" w:rsidP="00606FFE">
      <w:pPr>
        <w:jc w:val="right"/>
        <w:rPr>
          <w:rFonts w:ascii="Times New Roman" w:eastAsia="Times New Roman" w:hAnsi="Times New Roman" w:cs="Times New Roman"/>
          <w:sz w:val="20"/>
          <w:szCs w:val="20"/>
        </w:rPr>
      </w:pPr>
      <m:oMath>
        <m:r>
          <w:rPr>
            <w:rFonts w:ascii="Cambria Math" w:hAnsi="Cambria Math" w:cs="Times New Roman"/>
            <w:sz w:val="20"/>
            <w:szCs w:val="20"/>
            <w:vertAlign w:val="subscript"/>
          </w:rPr>
          <m:t>μ=</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μ</m:t>
            </m:r>
          </m:e>
          <m:sub>
            <m:r>
              <w:rPr>
                <w:rFonts w:ascii="Cambria Math" w:hAnsi="Cambria Math" w:cs="Times New Roman"/>
                <w:sz w:val="20"/>
                <w:szCs w:val="20"/>
                <w:vertAlign w:val="subscript"/>
              </w:rPr>
              <m:t>l</m:t>
            </m:r>
          </m:sub>
        </m:sSub>
        <m:r>
          <w:rPr>
            <w:rFonts w:ascii="Cambria Math" w:hAnsi="Cambria Math" w:cs="Times New Roman"/>
            <w:sz w:val="20"/>
            <w:szCs w:val="20"/>
            <w:vertAlign w:val="subscript"/>
          </w:rPr>
          <m:t>α+</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μ</m:t>
            </m:r>
          </m:e>
          <m:sub>
            <m:r>
              <w:rPr>
                <w:rFonts w:ascii="Cambria Math" w:hAnsi="Cambria Math" w:cs="Times New Roman"/>
                <w:sz w:val="20"/>
                <w:szCs w:val="20"/>
                <w:vertAlign w:val="subscript"/>
              </w:rPr>
              <m:t>g</m:t>
            </m:r>
          </m:sub>
        </m:sSub>
        <m:r>
          <w:rPr>
            <w:rFonts w:ascii="Cambria Math" w:hAnsi="Cambria Math" w:cs="Times New Roman"/>
            <w:sz w:val="20"/>
            <w:szCs w:val="20"/>
            <w:vertAlign w:val="subscript"/>
          </w:rPr>
          <m:t>(1-α)</m:t>
        </m:r>
      </m:oMath>
      <w:r w:rsidRPr="001B24ED">
        <w:rPr>
          <w:rFonts w:ascii="Times New Roman" w:eastAsia="Times New Roman" w:hAnsi="Times New Roman" w:cs="Times New Roman"/>
          <w:sz w:val="20"/>
          <w:szCs w:val="20"/>
        </w:rPr>
        <w:tab/>
        <w:t xml:space="preserve">                       (8)</w:t>
      </w:r>
    </w:p>
    <w:p w14:paraId="642269BD" w14:textId="77777777" w:rsidR="00606FFE" w:rsidRPr="001B24ED" w:rsidRDefault="00606FFE" w:rsidP="00606FFE">
      <w:pPr>
        <w:jc w:val="both"/>
        <w:rPr>
          <w:rFonts w:ascii="Times New Roman" w:hAnsi="Times New Roman" w:cs="Times New Roman"/>
          <w:sz w:val="20"/>
          <w:szCs w:val="20"/>
        </w:rPr>
      </w:pPr>
      <w:r w:rsidRPr="001B24ED">
        <w:rPr>
          <w:rFonts w:ascii="Times New Roman" w:eastAsia="Times New Roman" w:hAnsi="Times New Roman" w:cs="Times New Roman"/>
          <w:sz w:val="20"/>
          <w:szCs w:val="20"/>
        </w:rPr>
        <w:t>The specific heat of the fluid is calculated by:</w:t>
      </w:r>
    </w:p>
    <w:p w14:paraId="173F58C5" w14:textId="77777777" w:rsidR="00606FFE" w:rsidRPr="000900AA" w:rsidRDefault="00D35B7C" w:rsidP="00606FFE">
      <w:pPr>
        <w:jc w:val="right"/>
        <w:rPr>
          <w:rFonts w:ascii="Cambria Math" w:eastAsia="Times New Roman" w:hAnsi="Cambria Math" w:cs="Cambria Math"/>
          <w:sz w:val="20"/>
          <w:szCs w:val="20"/>
        </w:rPr>
      </w:pPr>
      <m:oMath>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c</m:t>
            </m:r>
          </m:e>
          <m:sub>
            <m:r>
              <w:rPr>
                <w:rFonts w:ascii="Cambria Math" w:hAnsi="Cambria Math" w:cs="Times New Roman"/>
                <w:sz w:val="20"/>
                <w:szCs w:val="20"/>
                <w:vertAlign w:val="subscript"/>
              </w:rPr>
              <m:t>p</m:t>
            </m:r>
          </m:sub>
        </m:sSub>
        <m:r>
          <w:rPr>
            <w:rFonts w:ascii="Cambria Math" w:hAnsi="Cambria Math" w:cs="Times New Roman"/>
            <w:sz w:val="20"/>
            <w:szCs w:val="20"/>
            <w:vertAlign w:val="subscript"/>
          </w:rPr>
          <m:t>=</m:t>
        </m:r>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ρ</m:t>
            </m:r>
          </m:e>
          <m:sup>
            <m:r>
              <w:rPr>
                <w:rFonts w:ascii="Cambria Math" w:hAnsi="Cambria Math" w:cs="Times New Roman"/>
                <w:sz w:val="20"/>
                <w:szCs w:val="20"/>
                <w:vertAlign w:val="subscript"/>
              </w:rPr>
              <m:t>-1</m:t>
            </m:r>
          </m:sup>
        </m:sSup>
        <m:r>
          <w:rPr>
            <w:rFonts w:ascii="Cambria Math" w:hAnsi="Cambria Math" w:cs="Times New Roman"/>
            <w:sz w:val="20"/>
            <w:szCs w:val="20"/>
            <w:vertAlign w:val="subscript"/>
          </w:rPr>
          <m:t>(</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α</m:t>
            </m:r>
          </m:e>
          <m:sub>
            <m:r>
              <w:rPr>
                <w:rFonts w:ascii="Cambria Math" w:hAnsi="Cambria Math" w:cs="Times New Roman"/>
                <w:sz w:val="20"/>
                <w:szCs w:val="20"/>
                <w:vertAlign w:val="subscript"/>
              </w:rPr>
              <m:t>l</m:t>
            </m:r>
          </m:sub>
        </m:sSub>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ρ</m:t>
            </m:r>
          </m:e>
          <m:sub>
            <m:r>
              <w:rPr>
                <w:rFonts w:ascii="Cambria Math" w:hAnsi="Cambria Math" w:cs="Times New Roman"/>
                <w:sz w:val="20"/>
                <w:szCs w:val="20"/>
                <w:vertAlign w:val="subscript"/>
              </w:rPr>
              <m:t>l</m:t>
            </m:r>
          </m:sub>
        </m:sSub>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c</m:t>
            </m:r>
          </m:e>
          <m:sub>
            <m:r>
              <w:rPr>
                <w:rFonts w:ascii="Cambria Math" w:hAnsi="Cambria Math" w:cs="Times New Roman"/>
                <w:sz w:val="20"/>
                <w:szCs w:val="20"/>
                <w:vertAlign w:val="subscript"/>
              </w:rPr>
              <m:t>p,l</m:t>
            </m:r>
          </m:sub>
        </m:sSub>
        <m:r>
          <w:rPr>
            <w:rFonts w:ascii="Cambria Math" w:hAnsi="Cambria Math" w:cs="Times New Roman"/>
            <w:sz w:val="20"/>
            <w:szCs w:val="20"/>
            <w:vertAlign w:val="subscript"/>
          </w:rPr>
          <m:t>+</m:t>
        </m:r>
        <m:d>
          <m:dPr>
            <m:ctrlPr>
              <w:rPr>
                <w:rFonts w:ascii="Cambria Math" w:hAnsi="Cambria Math" w:cs="Times New Roman"/>
                <w:i/>
                <w:sz w:val="20"/>
                <w:szCs w:val="20"/>
                <w:vertAlign w:val="subscript"/>
              </w:rPr>
            </m:ctrlPr>
          </m:dPr>
          <m:e>
            <m:r>
              <w:rPr>
                <w:rFonts w:ascii="Cambria Math" w:hAnsi="Cambria Math" w:cs="Times New Roman"/>
                <w:sz w:val="20"/>
                <w:szCs w:val="20"/>
                <w:vertAlign w:val="subscript"/>
              </w:rPr>
              <m:t>1-</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α</m:t>
                </m:r>
              </m:e>
              <m:sub>
                <m:r>
                  <w:rPr>
                    <w:rFonts w:ascii="Cambria Math" w:hAnsi="Cambria Math" w:cs="Times New Roman"/>
                    <w:sz w:val="20"/>
                    <w:szCs w:val="20"/>
                    <w:vertAlign w:val="subscript"/>
                  </w:rPr>
                  <m:t>l</m:t>
                </m:r>
              </m:sub>
            </m:sSub>
          </m:e>
        </m:d>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ρ</m:t>
            </m:r>
          </m:e>
          <m:sub>
            <m:r>
              <w:rPr>
                <w:rFonts w:ascii="Cambria Math" w:hAnsi="Cambria Math" w:cs="Times New Roman"/>
                <w:sz w:val="20"/>
                <w:szCs w:val="20"/>
                <w:vertAlign w:val="subscript"/>
              </w:rPr>
              <m:t>v</m:t>
            </m:r>
          </m:sub>
        </m:sSub>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c</m:t>
            </m:r>
          </m:e>
          <m:sub>
            <m:r>
              <w:rPr>
                <w:rFonts w:ascii="Cambria Math" w:hAnsi="Cambria Math" w:cs="Times New Roman"/>
                <w:sz w:val="20"/>
                <w:szCs w:val="20"/>
                <w:vertAlign w:val="subscript"/>
              </w:rPr>
              <m:t>p,v</m:t>
            </m:r>
          </m:sub>
        </m:sSub>
        <m:r>
          <w:rPr>
            <w:rFonts w:ascii="Cambria Math" w:hAnsi="Cambria Math" w:cs="Times New Roman"/>
            <w:sz w:val="20"/>
            <w:szCs w:val="20"/>
            <w:vertAlign w:val="subscript"/>
          </w:rPr>
          <m:t>)</m:t>
        </m:r>
      </m:oMath>
      <w:r w:rsidR="00606FFE" w:rsidRPr="000900AA">
        <w:rPr>
          <w:rFonts w:ascii="Cambria Math" w:eastAsia="Times New Roman" w:hAnsi="Cambria Math" w:cs="Cambria Math"/>
          <w:sz w:val="20"/>
          <w:szCs w:val="20"/>
        </w:rPr>
        <w:t xml:space="preserve">                (9)</w:t>
      </w:r>
    </w:p>
    <w:p w14:paraId="3C8EC2CE" w14:textId="77777777" w:rsidR="007375DF" w:rsidRDefault="007375DF" w:rsidP="007375DF">
      <w:pPr>
        <w:widowControl w:val="0"/>
        <w:tabs>
          <w:tab w:val="left" w:pos="504"/>
        </w:tabs>
        <w:autoSpaceDE w:val="0"/>
        <w:autoSpaceDN w:val="0"/>
        <w:spacing w:after="0" w:line="240" w:lineRule="auto"/>
        <w:rPr>
          <w:rFonts w:ascii="Arial" w:hAnsi="Arial" w:cs="Arial"/>
          <w:b/>
          <w:sz w:val="20"/>
          <w:szCs w:val="20"/>
        </w:rPr>
      </w:pPr>
      <w:r w:rsidRPr="007375DF">
        <w:rPr>
          <w:rFonts w:ascii="Arial" w:hAnsi="Arial" w:cs="Arial"/>
          <w:b/>
          <w:sz w:val="20"/>
          <w:szCs w:val="20"/>
        </w:rPr>
        <w:t>Engine layout and instrumentation</w:t>
      </w:r>
    </w:p>
    <w:p w14:paraId="4BD4367F" w14:textId="77777777" w:rsidR="007375DF" w:rsidRPr="007375DF" w:rsidRDefault="007375DF" w:rsidP="007375DF">
      <w:pPr>
        <w:widowControl w:val="0"/>
        <w:tabs>
          <w:tab w:val="left" w:pos="504"/>
        </w:tabs>
        <w:autoSpaceDE w:val="0"/>
        <w:autoSpaceDN w:val="0"/>
        <w:spacing w:after="0" w:line="240" w:lineRule="auto"/>
        <w:rPr>
          <w:rFonts w:ascii="Times New Roman" w:hAnsi="Times New Roman" w:cs="Times New Roman"/>
          <w:sz w:val="20"/>
          <w:szCs w:val="20"/>
          <w:lang w:val="en-GB"/>
        </w:rPr>
      </w:pPr>
    </w:p>
    <w:p w14:paraId="273B81ED" w14:textId="77777777" w:rsidR="00606FFE" w:rsidRDefault="007375DF" w:rsidP="00606FFE">
      <w:pPr>
        <w:jc w:val="both"/>
        <w:rPr>
          <w:rFonts w:ascii="Times New Roman" w:hAnsi="Times New Roman" w:cs="Times New Roman"/>
          <w:sz w:val="20"/>
          <w:szCs w:val="20"/>
          <w:lang w:val="en-GB"/>
        </w:rPr>
      </w:pPr>
      <w:r w:rsidRPr="007375DF">
        <w:rPr>
          <w:rFonts w:ascii="Times New Roman" w:hAnsi="Times New Roman" w:cs="Times New Roman"/>
          <w:sz w:val="20"/>
          <w:szCs w:val="20"/>
          <w:lang w:val="en-GB"/>
        </w:rPr>
        <w:t xml:space="preserve">The equipment’s and other instrumentation involved in the experimentation are shown in </w:t>
      </w:r>
      <w:hyperlink w:anchor="_bookmark2" w:history="1">
        <w:r w:rsidRPr="007375DF">
          <w:rPr>
            <w:rFonts w:ascii="Times New Roman" w:hAnsi="Times New Roman" w:cs="Times New Roman"/>
            <w:sz w:val="20"/>
            <w:szCs w:val="20"/>
            <w:lang w:val="en-GB"/>
          </w:rPr>
          <w:t>Fig. 1</w:t>
        </w:r>
      </w:hyperlink>
      <w:r w:rsidRPr="007375DF">
        <w:rPr>
          <w:rFonts w:ascii="Times New Roman" w:hAnsi="Times New Roman" w:cs="Times New Roman"/>
          <w:sz w:val="20"/>
          <w:szCs w:val="20"/>
          <w:lang w:val="en-GB"/>
        </w:rPr>
        <w:t xml:space="preserve">. The engine being used for the current study is a typical single cylinder diesel engine, mainly used in agricultural or industrial applications. The constant speed naturally aspirated engine has been coupled with an eddy current dynamometer. The load applied to the engine is varied by changing the current supplied to the eddy current dynamometer and by this; an opposing electromagnetic force would be generated inside the rotor, which ably controls the applied load. </w:t>
      </w:r>
      <w:r w:rsidR="00606FFE" w:rsidRPr="00EB6CBD">
        <w:rPr>
          <w:rFonts w:ascii="Times New Roman" w:hAnsi="Times New Roman" w:cs="Times New Roman"/>
          <w:sz w:val="20"/>
          <w:szCs w:val="20"/>
          <w:lang w:val="en-GB"/>
        </w:rPr>
        <w:t xml:space="preserve"> solver, developed especially to model phase change heat transfer, called inter</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Thermal</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Phase</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Change</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Foam [3] has been used as numerical tool</w:t>
      </w:r>
      <w:r w:rsidR="00606FFE">
        <w:rPr>
          <w:rFonts w:ascii="Times New Roman" w:hAnsi="Times New Roman" w:cs="Times New Roman"/>
          <w:sz w:val="20"/>
          <w:szCs w:val="20"/>
          <w:lang w:val="en-GB"/>
        </w:rPr>
        <w:t>. Finite volume approach is used to discretize the governing equations. The pressure-velocity coupling is done by using PISO-semi implicit method.</w:t>
      </w:r>
    </w:p>
    <w:p w14:paraId="30F42822" w14:textId="77777777" w:rsidR="00606FFE" w:rsidRDefault="00606FFE" w:rsidP="00606FF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types of wire arrangements have been considered in this study. Figure 1 shows the domain considered for simulation. </w:t>
      </w:r>
      <w:r w:rsidRPr="00EB6CBD">
        <w:rPr>
          <w:rFonts w:ascii="Times New Roman" w:hAnsi="Times New Roman" w:cs="Times New Roman"/>
          <w:sz w:val="20"/>
          <w:szCs w:val="20"/>
          <w:lang w:val="en-GB"/>
        </w:rPr>
        <w:t xml:space="preserve">To facilitate unrestricted bubble release from the vertical stack of wires, pressure outlet condition is given at </w:t>
      </w:r>
      <w:r>
        <w:rPr>
          <w:rFonts w:ascii="Times New Roman" w:hAnsi="Times New Roman" w:cs="Times New Roman"/>
          <w:sz w:val="20"/>
          <w:szCs w:val="20"/>
          <w:lang w:val="en-GB"/>
        </w:rPr>
        <w:t>top</w:t>
      </w:r>
      <w:r w:rsidRPr="00EB6CBD">
        <w:rPr>
          <w:rFonts w:ascii="Times New Roman" w:hAnsi="Times New Roman" w:cs="Times New Roman"/>
          <w:sz w:val="20"/>
          <w:szCs w:val="20"/>
          <w:lang w:val="en-GB"/>
        </w:rPr>
        <w:t xml:space="preserve"> boundary.</w:t>
      </w:r>
      <w:r>
        <w:rPr>
          <w:rFonts w:ascii="Times New Roman" w:hAnsi="Times New Roman" w:cs="Times New Roman"/>
          <w:sz w:val="20"/>
          <w:szCs w:val="20"/>
          <w:lang w:val="en-GB"/>
        </w:rPr>
        <w:t xml:space="preserve"> </w:t>
      </w:r>
      <w:r w:rsidRPr="00447A76">
        <w:rPr>
          <w:rFonts w:ascii="Times New Roman" w:hAnsi="Times New Roman" w:cs="Times New Roman"/>
          <w:sz w:val="20"/>
          <w:szCs w:val="20"/>
          <w:lang w:val="en-GB"/>
        </w:rPr>
        <w:t>Bulk liquid domain along with the domain boundaries are kept at saturation temperature</w:t>
      </w:r>
      <w:r>
        <w:rPr>
          <w:rFonts w:ascii="Times New Roman" w:hAnsi="Times New Roman" w:cs="Times New Roman"/>
          <w:sz w:val="20"/>
          <w:szCs w:val="20"/>
          <w:lang w:val="en-GB"/>
        </w:rPr>
        <w:t xml:space="preserve">. </w:t>
      </w:r>
      <w:r w:rsidRPr="00597959">
        <w:rPr>
          <w:rFonts w:ascii="Times New Roman" w:hAnsi="Times New Roman" w:cs="Times New Roman"/>
          <w:sz w:val="20"/>
          <w:szCs w:val="20"/>
          <w:lang w:val="en-GB"/>
        </w:rPr>
        <w:t>Simulations are initiated with thin vapour la</w:t>
      </w:r>
      <w:r>
        <w:rPr>
          <w:rFonts w:ascii="Times New Roman" w:hAnsi="Times New Roman" w:cs="Times New Roman"/>
          <w:sz w:val="20"/>
          <w:szCs w:val="20"/>
          <w:lang w:val="en-GB"/>
        </w:rPr>
        <w:t>yer of thickness 1/10</w:t>
      </w:r>
      <w:r w:rsidRPr="0082623B">
        <w:rPr>
          <w:rFonts w:ascii="Times New Roman" w:hAnsi="Times New Roman" w:cs="Times New Roman"/>
          <w:sz w:val="20"/>
          <w:szCs w:val="20"/>
          <w:vertAlign w:val="superscript"/>
          <w:lang w:val="en-GB"/>
        </w:rPr>
        <w:t>th</w:t>
      </w:r>
      <w:r>
        <w:rPr>
          <w:rFonts w:ascii="Times New Roman" w:hAnsi="Times New Roman" w:cs="Times New Roman"/>
          <w:sz w:val="20"/>
          <w:szCs w:val="20"/>
          <w:lang w:val="en-GB"/>
        </w:rPr>
        <w:t xml:space="preserve"> of the diameter of wires, around superheated cylindrical wires. The wires are maintained at a temperature of 200 K more than the saturation temperature of water.</w:t>
      </w:r>
    </w:p>
    <w:p w14:paraId="21B45B53" w14:textId="77777777" w:rsidR="00606FFE" w:rsidRDefault="00A76B86" w:rsidP="00606FFE">
      <w:pPr>
        <w:jc w:val="center"/>
        <w:rPr>
          <w:rFonts w:ascii="Times New Roman" w:hAnsi="Times New Roman" w:cs="Times New Roman"/>
          <w:sz w:val="20"/>
          <w:szCs w:val="20"/>
        </w:rPr>
      </w:pPr>
      <w:r>
        <w:rPr>
          <w:noProof/>
        </w:rPr>
        <mc:AlternateContent>
          <mc:Choice Requires="wps">
            <w:drawing>
              <wp:anchor distT="0" distB="0" distL="114300" distR="114300" simplePos="0" relativeHeight="251668480" behindDoc="0" locked="0" layoutInCell="1" allowOverlap="1" wp14:anchorId="63259380" wp14:editId="33988F42">
                <wp:simplePos x="0" y="0"/>
                <wp:positionH relativeFrom="column">
                  <wp:posOffset>1403350</wp:posOffset>
                </wp:positionH>
                <wp:positionV relativeFrom="paragraph">
                  <wp:posOffset>1129665</wp:posOffset>
                </wp:positionV>
                <wp:extent cx="254635" cy="2762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76225"/>
                        </a:xfrm>
                        <a:prstGeom prst="rect">
                          <a:avLst/>
                        </a:prstGeom>
                        <a:noFill/>
                        <a:ln w="9525">
                          <a:noFill/>
                          <a:miter lim="800000"/>
                          <a:headEnd/>
                          <a:tailEnd/>
                        </a:ln>
                      </wps:spPr>
                      <wps:txbx>
                        <w:txbxContent>
                          <w:p w14:paraId="0D9B2BAE" w14:textId="77777777" w:rsidR="00A251F6" w:rsidRDefault="00A251F6" w:rsidP="00606FF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59380" id="_x0000_t202" coordsize="21600,21600" o:spt="202" path="m,l,21600r21600,l21600,xe">
                <v:stroke joinstyle="miter"/>
                <v:path gradientshapeok="t" o:connecttype="rect"/>
              </v:shapetype>
              <v:shape id="Text Box 2" o:spid="_x0000_s1026" type="#_x0000_t202" style="position:absolute;left:0;text-align:left;margin-left:110.5pt;margin-top:88.95pt;width:20.0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" filled="f" stroked="f">
                <v:textbox>
                  <w:txbxContent>
                    <w:p w14:paraId="0D9B2BAE" w14:textId="77777777" w:rsidR="00A251F6" w:rsidRDefault="00A251F6" w:rsidP="00606FFE">
                      <w: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EBCB72E" wp14:editId="28CC689B">
                <wp:simplePos x="0" y="0"/>
                <wp:positionH relativeFrom="column">
                  <wp:posOffset>1414145</wp:posOffset>
                </wp:positionH>
                <wp:positionV relativeFrom="paragraph">
                  <wp:posOffset>1875155</wp:posOffset>
                </wp:positionV>
                <wp:extent cx="254635" cy="2870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7020"/>
                        </a:xfrm>
                        <a:prstGeom prst="rect">
                          <a:avLst/>
                        </a:prstGeom>
                        <a:noFill/>
                        <a:ln w="9525">
                          <a:noFill/>
                          <a:miter lim="800000"/>
                          <a:headEnd/>
                          <a:tailEnd/>
                        </a:ln>
                      </wps:spPr>
                      <wps:txbx>
                        <w:txbxContent>
                          <w:p w14:paraId="73B9061B" w14:textId="77777777" w:rsidR="00A251F6" w:rsidRDefault="00A251F6" w:rsidP="00606FF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CB72E" id="_x0000_s1027" type="#_x0000_t202" style="position:absolute;left:0;text-align:left;margin-left:111.35pt;margin-top:147.65pt;width:20.0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" filled="f" stroked="f">
                <v:textbox>
                  <w:txbxContent>
                    <w:p w14:paraId="73B9061B" w14:textId="77777777" w:rsidR="00A251F6" w:rsidRDefault="00A251F6" w:rsidP="00606FFE">
                      <w:r>
                        <w:t>4</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D5D6C1" wp14:editId="5A9C78C9">
                <wp:simplePos x="0" y="0"/>
                <wp:positionH relativeFrom="column">
                  <wp:posOffset>1403350</wp:posOffset>
                </wp:positionH>
                <wp:positionV relativeFrom="paragraph">
                  <wp:posOffset>1482090</wp:posOffset>
                </wp:positionV>
                <wp:extent cx="254635" cy="29781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7815"/>
                        </a:xfrm>
                        <a:prstGeom prst="rect">
                          <a:avLst/>
                        </a:prstGeom>
                        <a:noFill/>
                        <a:ln w="9525">
                          <a:noFill/>
                          <a:miter lim="800000"/>
                          <a:headEnd/>
                          <a:tailEnd/>
                        </a:ln>
                      </wps:spPr>
                      <wps:txbx>
                        <w:txbxContent>
                          <w:p w14:paraId="7D1D8D45" w14:textId="77777777" w:rsidR="00A251F6" w:rsidRDefault="00A251F6" w:rsidP="00606FF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5D6C1" id="_x0000_s1028" type="#_x0000_t202" style="position:absolute;left:0;text-align:left;margin-left:110.5pt;margin-top:116.7pt;width:20.05pt;height:2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" filled="f" stroked="f">
                <v:textbox>
                  <w:txbxContent>
                    <w:p w14:paraId="7D1D8D45" w14:textId="77777777" w:rsidR="00A251F6" w:rsidRDefault="00A251F6" w:rsidP="00606FFE">
                      <w: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FD2AC95" wp14:editId="1033A9BF">
                <wp:simplePos x="0" y="0"/>
                <wp:positionH relativeFrom="column">
                  <wp:posOffset>1403350</wp:posOffset>
                </wp:positionH>
                <wp:positionV relativeFrom="paragraph">
                  <wp:posOffset>756920</wp:posOffset>
                </wp:positionV>
                <wp:extent cx="255270" cy="2127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12725"/>
                        </a:xfrm>
                        <a:prstGeom prst="rect">
                          <a:avLst/>
                        </a:prstGeom>
                        <a:noFill/>
                        <a:ln w="9525">
                          <a:noFill/>
                          <a:miter lim="800000"/>
                          <a:headEnd/>
                          <a:tailEnd/>
                        </a:ln>
                      </wps:spPr>
                      <wps:txbx>
                        <w:txbxContent>
                          <w:p w14:paraId="7CC4B8E7" w14:textId="77777777" w:rsidR="00A251F6" w:rsidRDefault="00A251F6" w:rsidP="00606FF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2AC95" id="_x0000_s1029" type="#_x0000_t202" style="position:absolute;left:0;text-align:left;margin-left:110.5pt;margin-top:59.6pt;width:20.1pt;height:1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" filled="f" stroked="f">
                <v:textbox>
                  <w:txbxContent>
                    <w:p w14:paraId="7CC4B8E7" w14:textId="77777777" w:rsidR="00A251F6" w:rsidRDefault="00A251F6" w:rsidP="00606FFE">
                      <w:r>
                        <w:t>1</w:t>
                      </w:r>
                    </w:p>
                  </w:txbxContent>
                </v:textbox>
              </v:shape>
            </w:pict>
          </mc:Fallback>
        </mc:AlternateContent>
      </w:r>
      <w:r w:rsidR="00606FFE" w:rsidRPr="000900AA">
        <w:rPr>
          <w:rFonts w:ascii="Times New Roman" w:hAnsi="Times New Roman"/>
          <w:noProof/>
          <w:sz w:val="20"/>
          <w:szCs w:val="20"/>
          <w:lang w:val="en-US"/>
        </w:rPr>
        <w:drawing>
          <wp:inline distT="0" distB="0" distL="0" distR="0" wp14:anchorId="2903C128" wp14:editId="1015DAED">
            <wp:extent cx="1762125"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2305050"/>
                    </a:xfrm>
                    <a:prstGeom prst="rect">
                      <a:avLst/>
                    </a:prstGeom>
                    <a:noFill/>
                    <a:ln>
                      <a:noFill/>
                    </a:ln>
                  </pic:spPr>
                </pic:pic>
              </a:graphicData>
            </a:graphic>
          </wp:inline>
        </w:drawing>
      </w:r>
    </w:p>
    <w:p w14:paraId="21F67AB1" w14:textId="77777777" w:rsidR="00606FFE" w:rsidRPr="005F4DDB" w:rsidRDefault="00606FFE" w:rsidP="00606FFE">
      <w:pPr>
        <w:jc w:val="center"/>
        <w:rPr>
          <w:rFonts w:ascii="Arial" w:hAnsi="Arial" w:cs="Arial"/>
          <w:sz w:val="18"/>
          <w:szCs w:val="18"/>
        </w:rPr>
      </w:pPr>
      <w:r w:rsidRPr="005F4DDB">
        <w:rPr>
          <w:rFonts w:ascii="Arial" w:hAnsi="Arial" w:cs="Arial"/>
          <w:sz w:val="18"/>
          <w:szCs w:val="18"/>
        </w:rPr>
        <w:t>(a)</w:t>
      </w:r>
    </w:p>
    <w:p w14:paraId="07CDAD0C" w14:textId="77777777" w:rsidR="00606FFE" w:rsidRDefault="00A76B86" w:rsidP="00606FFE">
      <w:pPr>
        <w:jc w:val="center"/>
        <w:rPr>
          <w:rFonts w:ascii="Times New Roman" w:hAnsi="Times New Roman" w:cs="Times New Roman"/>
          <w:sz w:val="20"/>
          <w:szCs w:val="20"/>
        </w:rPr>
      </w:pPr>
      <w:r>
        <w:rPr>
          <w:noProof/>
        </w:rPr>
        <mc:AlternateContent>
          <mc:Choice Requires="wps">
            <w:drawing>
              <wp:anchor distT="0" distB="0" distL="114300" distR="114300" simplePos="0" relativeHeight="251666432" behindDoc="0" locked="0" layoutInCell="1" allowOverlap="1" wp14:anchorId="317C5CD6" wp14:editId="0B025410">
                <wp:simplePos x="0" y="0"/>
                <wp:positionH relativeFrom="column">
                  <wp:posOffset>1430020</wp:posOffset>
                </wp:positionH>
                <wp:positionV relativeFrom="paragraph">
                  <wp:posOffset>1966595</wp:posOffset>
                </wp:positionV>
                <wp:extent cx="307975" cy="2971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97180"/>
                        </a:xfrm>
                        <a:prstGeom prst="rect">
                          <a:avLst/>
                        </a:prstGeom>
                        <a:noFill/>
                        <a:ln w="9525">
                          <a:noFill/>
                          <a:miter lim="800000"/>
                          <a:headEnd/>
                          <a:tailEnd/>
                        </a:ln>
                      </wps:spPr>
                      <wps:txbx>
                        <w:txbxContent>
                          <w:p w14:paraId="53C48897" w14:textId="77777777" w:rsidR="00A251F6" w:rsidRDefault="00A251F6" w:rsidP="00606FFE">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C5CD6" id="_x0000_s1030" type="#_x0000_t202" style="position:absolute;left:0;text-align:left;margin-left:112.6pt;margin-top:154.85pt;width:24.2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" filled="f" stroked="f">
                <v:textbox>
                  <w:txbxContent>
                    <w:p w14:paraId="53C48897" w14:textId="77777777" w:rsidR="00A251F6" w:rsidRDefault="00A251F6" w:rsidP="00606FFE">
                      <w:r>
                        <w:t>8</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5FA6E0" wp14:editId="3791E100">
                <wp:simplePos x="0" y="0"/>
                <wp:positionH relativeFrom="column">
                  <wp:posOffset>1430020</wp:posOffset>
                </wp:positionH>
                <wp:positionV relativeFrom="paragraph">
                  <wp:posOffset>1626235</wp:posOffset>
                </wp:positionV>
                <wp:extent cx="254635" cy="2870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7020"/>
                        </a:xfrm>
                        <a:prstGeom prst="rect">
                          <a:avLst/>
                        </a:prstGeom>
                        <a:noFill/>
                        <a:ln w="9525">
                          <a:noFill/>
                          <a:miter lim="800000"/>
                          <a:headEnd/>
                          <a:tailEnd/>
                        </a:ln>
                      </wps:spPr>
                      <wps:txbx>
                        <w:txbxContent>
                          <w:p w14:paraId="1E23F377" w14:textId="77777777" w:rsidR="00A251F6" w:rsidRDefault="00A251F6" w:rsidP="00606FFE">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FA6E0" id="_x0000_s1031" type="#_x0000_t202" style="position:absolute;left:0;text-align:left;margin-left:112.6pt;margin-top:128.05pt;width:20.0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" filled="f" stroked="f">
                <v:textbox>
                  <w:txbxContent>
                    <w:p w14:paraId="1E23F377" w14:textId="77777777" w:rsidR="00A251F6" w:rsidRDefault="00A251F6" w:rsidP="00606FFE">
                      <w:r>
                        <w:t>7</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271A021" wp14:editId="0C18F7BF">
                <wp:simplePos x="0" y="0"/>
                <wp:positionH relativeFrom="column">
                  <wp:posOffset>1430020</wp:posOffset>
                </wp:positionH>
                <wp:positionV relativeFrom="paragraph">
                  <wp:posOffset>1296670</wp:posOffset>
                </wp:positionV>
                <wp:extent cx="254635" cy="32956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29565"/>
                        </a:xfrm>
                        <a:prstGeom prst="rect">
                          <a:avLst/>
                        </a:prstGeom>
                        <a:noFill/>
                        <a:ln w="9525">
                          <a:noFill/>
                          <a:miter lim="800000"/>
                          <a:headEnd/>
                          <a:tailEnd/>
                        </a:ln>
                      </wps:spPr>
                      <wps:txbx>
                        <w:txbxContent>
                          <w:p w14:paraId="5A922014" w14:textId="77777777" w:rsidR="00A251F6" w:rsidRDefault="00A251F6" w:rsidP="00606FF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A021" id="_x0000_s1032" type="#_x0000_t202" style="position:absolute;left:0;text-align:left;margin-left:112.6pt;margin-top:102.1pt;width:20.05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" filled="f" stroked="f">
                <v:textbox>
                  <w:txbxContent>
                    <w:p w14:paraId="5A922014" w14:textId="77777777" w:rsidR="00A251F6" w:rsidRDefault="00A251F6" w:rsidP="00606FFE">
                      <w:r>
                        <w:t>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E50147" wp14:editId="506EBEAF">
                <wp:simplePos x="0" y="0"/>
                <wp:positionH relativeFrom="column">
                  <wp:posOffset>1430020</wp:posOffset>
                </wp:positionH>
                <wp:positionV relativeFrom="paragraph">
                  <wp:posOffset>914400</wp:posOffset>
                </wp:positionV>
                <wp:extent cx="307975" cy="2870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87020"/>
                        </a:xfrm>
                        <a:prstGeom prst="rect">
                          <a:avLst/>
                        </a:prstGeom>
                        <a:noFill/>
                        <a:ln w="9525">
                          <a:noFill/>
                          <a:miter lim="800000"/>
                          <a:headEnd/>
                          <a:tailEnd/>
                        </a:ln>
                      </wps:spPr>
                      <wps:txbx>
                        <w:txbxContent>
                          <w:p w14:paraId="4545F866" w14:textId="77777777" w:rsidR="00A251F6" w:rsidRDefault="00A251F6" w:rsidP="00606FF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50147" id="_x0000_s1033" type="#_x0000_t202" style="position:absolute;left:0;text-align:left;margin-left:112.6pt;margin-top:1in;width:24.2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" filled="f" stroked="f">
                <v:textbox>
                  <w:txbxContent>
                    <w:p w14:paraId="4545F866" w14:textId="77777777" w:rsidR="00A251F6" w:rsidRDefault="00A251F6" w:rsidP="00606FFE">
                      <w:r>
                        <w:t>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961AC3" wp14:editId="708D86D9">
                <wp:simplePos x="0" y="0"/>
                <wp:positionH relativeFrom="column">
                  <wp:posOffset>1036320</wp:posOffset>
                </wp:positionH>
                <wp:positionV relativeFrom="paragraph">
                  <wp:posOffset>1966595</wp:posOffset>
                </wp:positionV>
                <wp:extent cx="307975" cy="2971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97180"/>
                        </a:xfrm>
                        <a:prstGeom prst="rect">
                          <a:avLst/>
                        </a:prstGeom>
                        <a:noFill/>
                        <a:ln w="9525">
                          <a:noFill/>
                          <a:miter lim="800000"/>
                          <a:headEnd/>
                          <a:tailEnd/>
                        </a:ln>
                      </wps:spPr>
                      <wps:txbx>
                        <w:txbxContent>
                          <w:p w14:paraId="471F662F" w14:textId="77777777" w:rsidR="00A251F6" w:rsidRDefault="00A251F6" w:rsidP="00606FF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1AC3" id="_x0000_s1034" type="#_x0000_t202" style="position:absolute;left:0;text-align:left;margin-left:81.6pt;margin-top:154.85pt;width:24.2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" filled="f" stroked="f">
                <v:textbox>
                  <w:txbxContent>
                    <w:p w14:paraId="471F662F" w14:textId="77777777" w:rsidR="00A251F6" w:rsidRDefault="00A251F6" w:rsidP="00606FFE">
                      <w:r>
                        <w:t>4</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07B3523" wp14:editId="11B22E66">
                <wp:simplePos x="0" y="0"/>
                <wp:positionH relativeFrom="column">
                  <wp:posOffset>1036320</wp:posOffset>
                </wp:positionH>
                <wp:positionV relativeFrom="paragraph">
                  <wp:posOffset>1626235</wp:posOffset>
                </wp:positionV>
                <wp:extent cx="254635" cy="2870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7020"/>
                        </a:xfrm>
                        <a:prstGeom prst="rect">
                          <a:avLst/>
                        </a:prstGeom>
                        <a:noFill/>
                        <a:ln w="9525">
                          <a:noFill/>
                          <a:miter lim="800000"/>
                          <a:headEnd/>
                          <a:tailEnd/>
                        </a:ln>
                      </wps:spPr>
                      <wps:txbx>
                        <w:txbxContent>
                          <w:p w14:paraId="3DB23023" w14:textId="77777777" w:rsidR="00A251F6" w:rsidRDefault="00A251F6" w:rsidP="00606FF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B3523" id="_x0000_s1035" type="#_x0000_t202" style="position:absolute;left:0;text-align:left;margin-left:81.6pt;margin-top:128.05pt;width:20.0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" filled="f" stroked="f">
                <v:textbox>
                  <w:txbxContent>
                    <w:p w14:paraId="3DB23023" w14:textId="77777777" w:rsidR="00A251F6" w:rsidRDefault="00A251F6" w:rsidP="00606FFE">
                      <w:r>
                        <w:t>3</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AAB8BF" wp14:editId="5F7E7DD8">
                <wp:simplePos x="0" y="0"/>
                <wp:positionH relativeFrom="column">
                  <wp:posOffset>1036320</wp:posOffset>
                </wp:positionH>
                <wp:positionV relativeFrom="paragraph">
                  <wp:posOffset>1296670</wp:posOffset>
                </wp:positionV>
                <wp:extent cx="254635" cy="32956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29565"/>
                        </a:xfrm>
                        <a:prstGeom prst="rect">
                          <a:avLst/>
                        </a:prstGeom>
                        <a:noFill/>
                        <a:ln w="9525">
                          <a:noFill/>
                          <a:miter lim="800000"/>
                          <a:headEnd/>
                          <a:tailEnd/>
                        </a:ln>
                      </wps:spPr>
                      <wps:txbx>
                        <w:txbxContent>
                          <w:p w14:paraId="3C697B0C" w14:textId="77777777" w:rsidR="00A251F6" w:rsidRDefault="00A251F6" w:rsidP="00606FF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AB8BF" id="_x0000_s1036" type="#_x0000_t202" style="position:absolute;left:0;text-align:left;margin-left:81.6pt;margin-top:102.1pt;width:20.05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" filled="f" stroked="f">
                <v:textbox>
                  <w:txbxContent>
                    <w:p w14:paraId="3C697B0C" w14:textId="77777777" w:rsidR="00A251F6" w:rsidRDefault="00A251F6" w:rsidP="00606FFE">
                      <w:r>
                        <w:t>2</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2AEB2D8" wp14:editId="530FC71C">
                <wp:simplePos x="0" y="0"/>
                <wp:positionH relativeFrom="column">
                  <wp:posOffset>1036955</wp:posOffset>
                </wp:positionH>
                <wp:positionV relativeFrom="paragraph">
                  <wp:posOffset>939165</wp:posOffset>
                </wp:positionV>
                <wp:extent cx="255270" cy="2127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12725"/>
                        </a:xfrm>
                        <a:prstGeom prst="rect">
                          <a:avLst/>
                        </a:prstGeom>
                        <a:noFill/>
                        <a:ln w="9525">
                          <a:noFill/>
                          <a:miter lim="800000"/>
                          <a:headEnd/>
                          <a:tailEnd/>
                        </a:ln>
                      </wps:spPr>
                      <wps:txbx>
                        <w:txbxContent>
                          <w:p w14:paraId="35E308A3" w14:textId="77777777" w:rsidR="00A251F6" w:rsidRDefault="00A251F6" w:rsidP="00606FF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EB2D8" id="_x0000_s1037" type="#_x0000_t202" style="position:absolute;left:0;text-align:left;margin-left:81.65pt;margin-top:73.95pt;width:20.1pt;height: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" filled="f" stroked="f">
                <v:textbox>
                  <w:txbxContent>
                    <w:p w14:paraId="35E308A3" w14:textId="77777777" w:rsidR="00A251F6" w:rsidRDefault="00A251F6" w:rsidP="00606FFE">
                      <w:r>
                        <w:t>1</w:t>
                      </w:r>
                    </w:p>
                  </w:txbxContent>
                </v:textbox>
              </v:shape>
            </w:pict>
          </mc:Fallback>
        </mc:AlternateContent>
      </w:r>
      <w:r w:rsidR="00606FFE" w:rsidRPr="000900AA">
        <w:rPr>
          <w:rFonts w:ascii="Times New Roman" w:hAnsi="Times New Roman"/>
          <w:noProof/>
          <w:sz w:val="20"/>
          <w:szCs w:val="20"/>
          <w:lang w:val="en-US"/>
        </w:rPr>
        <w:drawing>
          <wp:inline distT="0" distB="0" distL="0" distR="0" wp14:anchorId="1F565152" wp14:editId="4D7A6997">
            <wp:extent cx="2295525"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847975"/>
                    </a:xfrm>
                    <a:prstGeom prst="rect">
                      <a:avLst/>
                    </a:prstGeom>
                    <a:noFill/>
                    <a:ln>
                      <a:noFill/>
                    </a:ln>
                  </pic:spPr>
                </pic:pic>
              </a:graphicData>
            </a:graphic>
          </wp:inline>
        </w:drawing>
      </w:r>
    </w:p>
    <w:p w14:paraId="61CF16B3" w14:textId="77777777" w:rsidR="00606FFE" w:rsidRPr="005F4DDB" w:rsidRDefault="00606FFE" w:rsidP="00606FFE">
      <w:pPr>
        <w:jc w:val="center"/>
        <w:rPr>
          <w:rFonts w:ascii="Arial" w:hAnsi="Arial" w:cs="Arial"/>
          <w:sz w:val="18"/>
          <w:szCs w:val="18"/>
        </w:rPr>
      </w:pPr>
      <w:r w:rsidRPr="005F4DDB">
        <w:rPr>
          <w:rFonts w:ascii="Arial" w:hAnsi="Arial" w:cs="Arial"/>
          <w:sz w:val="18"/>
          <w:szCs w:val="18"/>
        </w:rPr>
        <w:t>(b)</w:t>
      </w:r>
    </w:p>
    <w:p w14:paraId="60A6C7C9" w14:textId="77777777" w:rsidR="00606FFE" w:rsidRPr="005F4DDB" w:rsidRDefault="00606FFE" w:rsidP="00606FFE">
      <w:pPr>
        <w:jc w:val="center"/>
        <w:rPr>
          <w:rFonts w:ascii="Arial" w:hAnsi="Arial" w:cs="Arial"/>
          <w:sz w:val="18"/>
          <w:szCs w:val="18"/>
        </w:rPr>
      </w:pPr>
      <w:r w:rsidRPr="005F4DDB">
        <w:rPr>
          <w:rFonts w:ascii="Arial" w:hAnsi="Arial" w:cs="Arial"/>
          <w:sz w:val="18"/>
          <w:szCs w:val="18"/>
        </w:rPr>
        <w:t xml:space="preserve">Figure 1: Types of wire arrangements considered for the numerical analysis </w:t>
      </w:r>
    </w:p>
    <w:p w14:paraId="794B6666" w14:textId="77777777" w:rsidR="00606FFE" w:rsidRPr="000900AA" w:rsidRDefault="00606FFE" w:rsidP="00606FFE">
      <w:pPr>
        <w:ind w:left="-142" w:firstLine="142"/>
        <w:jc w:val="both"/>
        <w:rPr>
          <w:rFonts w:ascii="Times New Roman" w:hAnsi="Times New Roman" w:cs="Times New Roman"/>
          <w:color w:val="000000"/>
          <w:sz w:val="20"/>
          <w:szCs w:val="20"/>
          <w:lang w:val="en-GB"/>
        </w:rPr>
      </w:pPr>
    </w:p>
    <w:p w14:paraId="5CA444F9" w14:textId="77777777" w:rsidR="00606FFE" w:rsidRDefault="00606FFE" w:rsidP="00606FFE">
      <w:pPr>
        <w:ind w:left="-142" w:firstLine="142"/>
        <w:jc w:val="both"/>
        <w:rPr>
          <w:rFonts w:ascii="Arial" w:hAnsi="Arial" w:cs="Arial"/>
          <w:b/>
          <w:sz w:val="20"/>
          <w:szCs w:val="20"/>
        </w:rPr>
      </w:pPr>
    </w:p>
    <w:tbl>
      <w:tblPr>
        <w:tblpPr w:leftFromText="180" w:rightFromText="180" w:vertAnchor="text" w:horzAnchor="margin" w:tblpXSpec="center" w:tblpY="119"/>
        <w:tblOverlap w:val="never"/>
        <w:tblW w:w="10026" w:type="dxa"/>
        <w:tblLook w:val="04A0" w:firstRow="1" w:lastRow="0" w:firstColumn="1" w:lastColumn="0" w:noHBand="0" w:noVBand="1"/>
      </w:tblPr>
      <w:tblGrid>
        <w:gridCol w:w="10026"/>
      </w:tblGrid>
      <w:tr w:rsidR="00606FFE" w:rsidRPr="000900AA" w14:paraId="306CBC3F" w14:textId="77777777" w:rsidTr="00A251F6">
        <w:trPr>
          <w:trHeight w:val="1104"/>
        </w:trPr>
        <w:tc>
          <w:tcPr>
            <w:tcW w:w="10026" w:type="dxa"/>
            <w:shd w:val="clear" w:color="auto" w:fill="auto"/>
          </w:tcPr>
          <w:p w14:paraId="24F6F048" w14:textId="77777777" w:rsidR="00606FFE" w:rsidRPr="000900AA" w:rsidRDefault="007375DF" w:rsidP="00A251F6">
            <w:pPr>
              <w:spacing w:after="0" w:line="240" w:lineRule="auto"/>
              <w:rPr>
                <w:rFonts w:ascii="Times New Roman" w:eastAsia="Calibri" w:hAnsi="Times New Roman" w:cs="Times New Roman"/>
                <w:sz w:val="20"/>
                <w:szCs w:val="20"/>
              </w:rPr>
            </w:pPr>
            <w:r>
              <w:rPr>
                <w:noProof/>
              </w:rPr>
              <w:lastRenderedPageBreak/>
              <w:drawing>
                <wp:inline distT="0" distB="0" distL="0" distR="0" wp14:anchorId="2BAAE8A6" wp14:editId="76A791A9">
                  <wp:extent cx="60483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33725"/>
                          </a:xfrm>
                          <a:prstGeom prst="rect">
                            <a:avLst/>
                          </a:prstGeom>
                        </pic:spPr>
                      </pic:pic>
                    </a:graphicData>
                  </a:graphic>
                </wp:inline>
              </w:drawing>
            </w:r>
          </w:p>
        </w:tc>
      </w:tr>
      <w:tr w:rsidR="00606FFE" w:rsidRPr="000900AA" w14:paraId="417BFB2F" w14:textId="77777777" w:rsidTr="00A251F6">
        <w:trPr>
          <w:trHeight w:val="967"/>
        </w:trPr>
        <w:tc>
          <w:tcPr>
            <w:tcW w:w="10026" w:type="dxa"/>
            <w:shd w:val="clear" w:color="auto" w:fill="auto"/>
          </w:tcPr>
          <w:p w14:paraId="567E784E" w14:textId="77777777" w:rsidR="00606FFE" w:rsidRPr="000900AA" w:rsidRDefault="00606FFE" w:rsidP="00A251F6">
            <w:pPr>
              <w:spacing w:after="0" w:line="240" w:lineRule="auto"/>
              <w:jc w:val="both"/>
              <w:rPr>
                <w:rFonts w:ascii="Arial" w:eastAsia="Calibri" w:hAnsi="Arial" w:cs="Arial"/>
                <w:sz w:val="18"/>
                <w:szCs w:val="18"/>
              </w:rPr>
            </w:pPr>
          </w:p>
          <w:p w14:paraId="4CDA23BF" w14:textId="77777777" w:rsidR="00606FFE" w:rsidRPr="000900AA" w:rsidRDefault="00606FFE" w:rsidP="00A251F6">
            <w:pPr>
              <w:spacing w:after="0" w:line="240" w:lineRule="auto"/>
              <w:jc w:val="both"/>
              <w:rPr>
                <w:rFonts w:ascii="Arial" w:eastAsia="Calibri" w:hAnsi="Arial" w:cs="Arial"/>
                <w:sz w:val="18"/>
                <w:szCs w:val="18"/>
              </w:rPr>
            </w:pPr>
          </w:p>
          <w:p w14:paraId="679A474D" w14:textId="77777777"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2.</w:t>
            </w:r>
            <w:r w:rsidRPr="000900AA">
              <w:rPr>
                <w:rFonts w:ascii="Times New Roman" w:eastAsia="Calibri" w:hAnsi="Times New Roman" w:cs="Times New Roman"/>
                <w:sz w:val="20"/>
                <w:szCs w:val="20"/>
              </w:rPr>
              <w:t xml:space="preserve"> </w:t>
            </w:r>
            <w:r w:rsidR="00A251F6">
              <w:rPr>
                <w:rFonts w:ascii="Arial" w:eastAsia="Calibri" w:hAnsi="Arial" w:cs="Arial"/>
                <w:sz w:val="18"/>
                <w:szCs w:val="18"/>
              </w:rPr>
              <w:t>Schematic</w:t>
            </w:r>
            <w:r w:rsidR="007375DF">
              <w:rPr>
                <w:rFonts w:ascii="Arial" w:eastAsia="Calibri" w:hAnsi="Arial" w:cs="Arial"/>
                <w:sz w:val="18"/>
                <w:szCs w:val="18"/>
              </w:rPr>
              <w:t xml:space="preserve"> </w:t>
            </w:r>
            <w:r w:rsidR="00A251F6">
              <w:rPr>
                <w:rFonts w:ascii="Arial" w:eastAsia="Calibri" w:hAnsi="Arial" w:cs="Arial"/>
                <w:sz w:val="18"/>
                <w:szCs w:val="18"/>
              </w:rPr>
              <w:t>diagram</w:t>
            </w:r>
            <w:r w:rsidR="007375DF">
              <w:rPr>
                <w:rFonts w:ascii="Arial" w:eastAsia="Calibri" w:hAnsi="Arial" w:cs="Arial"/>
                <w:sz w:val="18"/>
                <w:szCs w:val="18"/>
              </w:rPr>
              <w:t xml:space="preserve"> of the experimental setu</w:t>
            </w:r>
            <w:r w:rsidR="00A251F6">
              <w:rPr>
                <w:rFonts w:ascii="Arial" w:eastAsia="Calibri" w:hAnsi="Arial" w:cs="Arial"/>
                <w:sz w:val="18"/>
                <w:szCs w:val="18"/>
              </w:rPr>
              <w:t>p</w:t>
            </w:r>
          </w:p>
          <w:p w14:paraId="24AE4AE9" w14:textId="77777777" w:rsidR="00606FFE" w:rsidRPr="000900AA" w:rsidRDefault="00606FFE" w:rsidP="00A251F6">
            <w:pPr>
              <w:spacing w:after="0" w:line="240" w:lineRule="auto"/>
              <w:jc w:val="center"/>
              <w:rPr>
                <w:rFonts w:ascii="Times New Roman" w:eastAsia="Calibri" w:hAnsi="Times New Roman" w:cs="Times New Roman"/>
                <w:sz w:val="20"/>
                <w:szCs w:val="20"/>
              </w:rPr>
            </w:pPr>
          </w:p>
          <w:p w14:paraId="4D7CA2BD" w14:textId="77777777" w:rsidR="00606FFE" w:rsidRPr="000900AA" w:rsidRDefault="00606FFE" w:rsidP="00A251F6">
            <w:pPr>
              <w:spacing w:after="0" w:line="240" w:lineRule="auto"/>
              <w:jc w:val="both"/>
              <w:rPr>
                <w:rFonts w:ascii="Times New Roman" w:eastAsia="Calibri" w:hAnsi="Times New Roman" w:cs="Times New Roman"/>
                <w:sz w:val="20"/>
                <w:szCs w:val="20"/>
              </w:rPr>
            </w:pPr>
          </w:p>
        </w:tc>
      </w:tr>
    </w:tbl>
    <w:p w14:paraId="4C6021B3" w14:textId="77777777" w:rsidR="00606FFE" w:rsidRDefault="00606FFE" w:rsidP="00606FFE">
      <w:pPr>
        <w:ind w:left="-142" w:firstLine="142"/>
        <w:jc w:val="both"/>
        <w:rPr>
          <w:rFonts w:ascii="Arial" w:hAnsi="Arial" w:cs="Arial"/>
          <w:b/>
          <w:sz w:val="20"/>
          <w:szCs w:val="20"/>
        </w:rPr>
      </w:pPr>
    </w:p>
    <w:p w14:paraId="1EF9B1E3" w14:textId="77777777" w:rsidR="00606FFE" w:rsidRDefault="00606FFE" w:rsidP="00606FFE">
      <w:pPr>
        <w:ind w:left="-142" w:firstLine="142"/>
        <w:jc w:val="both"/>
        <w:rPr>
          <w:rFonts w:ascii="Arial" w:hAnsi="Arial" w:cs="Arial"/>
          <w:b/>
          <w:sz w:val="20"/>
          <w:szCs w:val="20"/>
        </w:rPr>
      </w:pPr>
      <w:r w:rsidRPr="005F4DDB">
        <w:rPr>
          <w:rFonts w:ascii="Arial" w:hAnsi="Arial" w:cs="Arial"/>
          <w:b/>
          <w:sz w:val="20"/>
          <w:szCs w:val="20"/>
        </w:rPr>
        <w:t>RESULTS AND DISCUSSIONS</w:t>
      </w:r>
    </w:p>
    <w:p w14:paraId="6C2A0D7B" w14:textId="77777777"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The growth of vapour film around the cylinders and the i</w:t>
      </w:r>
      <w:r w:rsidRPr="000444AE">
        <w:rPr>
          <w:rFonts w:ascii="Times New Roman" w:hAnsi="Times New Roman" w:cs="Times New Roman"/>
          <w:sz w:val="20"/>
          <w:szCs w:val="20"/>
        </w:rPr>
        <w:t>nterfacial interactions among growing films around the cylinders</w:t>
      </w:r>
      <w:r>
        <w:rPr>
          <w:rFonts w:ascii="Times New Roman" w:hAnsi="Times New Roman" w:cs="Times New Roman"/>
          <w:sz w:val="20"/>
          <w:szCs w:val="20"/>
        </w:rPr>
        <w:t xml:space="preserve"> placed in a vertical stack have been studied through simulations. Since the cylinders are maintained at a 200 K superheat, the liquid present in the domain undergo phase change. To show this phase change process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the way in which the vapour film grows, phase contours have been plotted at different time as shown in figure 2. In figure 2 the cylinder boundary has been marked in red for easy visualization. It can be observed from the figure that till t = 0.01 s, identical films are formed around the cylinders. But as the time progresses, the vapour film around the cylinder 1 grows freely as compared to the films around rest cylinders. </w:t>
      </w:r>
    </w:p>
    <w:p w14:paraId="2454147B" w14:textId="77777777" w:rsidR="00606FFE" w:rsidRDefault="00606FFE" w:rsidP="00606FFE">
      <w:pPr>
        <w:jc w:val="both"/>
        <w:rPr>
          <w:rFonts w:ascii="Times New Roman" w:hAnsi="Times New Roman" w:cs="Times New Roman"/>
          <w:sz w:val="20"/>
          <w:szCs w:val="20"/>
        </w:rPr>
      </w:pPr>
    </w:p>
    <w:tbl>
      <w:tblPr>
        <w:tblpPr w:leftFromText="180" w:rightFromText="180" w:vertAnchor="text" w:horzAnchor="margin" w:tblpX="250" w:tblpY="5480"/>
        <w:tblOverlap w:val="never"/>
        <w:tblW w:w="0" w:type="auto"/>
        <w:tblLayout w:type="fixed"/>
        <w:tblLook w:val="04A0" w:firstRow="1" w:lastRow="0" w:firstColumn="1" w:lastColumn="0" w:noHBand="0" w:noVBand="1"/>
      </w:tblPr>
      <w:tblGrid>
        <w:gridCol w:w="4536"/>
      </w:tblGrid>
      <w:tr w:rsidR="00606FFE" w:rsidRPr="000900AA" w14:paraId="1D7A536D" w14:textId="77777777" w:rsidTr="00A251F6">
        <w:trPr>
          <w:trHeight w:val="3818"/>
        </w:trPr>
        <w:tc>
          <w:tcPr>
            <w:tcW w:w="4536" w:type="dxa"/>
            <w:shd w:val="clear" w:color="auto" w:fill="auto"/>
          </w:tcPr>
          <w:p w14:paraId="48A282A2" w14:textId="77777777" w:rsidR="00606FFE" w:rsidRPr="000900AA" w:rsidRDefault="00487C6F" w:rsidP="00A251F6">
            <w:pPr>
              <w:spacing w:after="0" w:line="240" w:lineRule="auto"/>
              <w:jc w:val="both"/>
              <w:rPr>
                <w:rFonts w:ascii="Times New Roman" w:eastAsia="Calibri" w:hAnsi="Times New Roman" w:cs="Times New Roman"/>
                <w:sz w:val="20"/>
                <w:szCs w:val="20"/>
              </w:rPr>
            </w:pPr>
            <w:r>
              <w:rPr>
                <w:noProof/>
                <w:lang w:val="en-US"/>
              </w:rPr>
              <w:drawing>
                <wp:anchor distT="0" distB="0" distL="114300" distR="114300" simplePos="0" relativeHeight="251671552" behindDoc="0" locked="0" layoutInCell="1" allowOverlap="1" wp14:anchorId="6C31A589" wp14:editId="47A87740">
                  <wp:simplePos x="0" y="0"/>
                  <wp:positionH relativeFrom="margin">
                    <wp:posOffset>-64770</wp:posOffset>
                  </wp:positionH>
                  <wp:positionV relativeFrom="margin">
                    <wp:posOffset>28575</wp:posOffset>
                  </wp:positionV>
                  <wp:extent cx="2657475" cy="2085975"/>
                  <wp:effectExtent l="0" t="0" r="9525" b="9525"/>
                  <wp:wrapSquare wrapText="bothSides"/>
                  <wp:docPr id="8" name="Picture 8" descr="D:\phd\openfoam\data\vertical stack\centroidvstim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hd\openfoam\data\vertical stack\centroidvstimeV.jpg"/>
                          <pic:cNvPicPr>
                            <a:picLocks noChangeAspect="1" noChangeArrowheads="1"/>
                          </pic:cNvPicPr>
                        </pic:nvPicPr>
                        <pic:blipFill>
                          <a:blip r:embed="rId11" cstate="print">
                            <a:extLst>
                              <a:ext uri="{28A0092B-C50C-407E-A947-70E740481C1C}">
                                <a14:useLocalDpi xmlns:a14="http://schemas.microsoft.com/office/drawing/2010/main" val="0"/>
                              </a:ext>
                            </a:extLst>
                          </a:blip>
                          <a:srcRect l="8868" t="8704" r="12843"/>
                          <a:stretch>
                            <a:fillRect/>
                          </a:stretch>
                        </pic:blipFill>
                        <pic:spPr bwMode="auto">
                          <a:xfrm>
                            <a:off x="0" y="0"/>
                            <a:ext cx="2657475" cy="2085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6FFE" w:rsidRPr="000900AA" w14:paraId="263B4F74" w14:textId="77777777" w:rsidTr="00A251F6">
        <w:tc>
          <w:tcPr>
            <w:tcW w:w="4536" w:type="dxa"/>
            <w:shd w:val="clear" w:color="auto" w:fill="auto"/>
          </w:tcPr>
          <w:p w14:paraId="78DF3684" w14:textId="77777777"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3. Temporal variation of centroid of vapour mass present around the cylinders.</w:t>
            </w:r>
          </w:p>
        </w:tc>
      </w:tr>
    </w:tbl>
    <w:p w14:paraId="4C63E563" w14:textId="77777777" w:rsidR="00606FFE" w:rsidRPr="000900AA" w:rsidRDefault="00606FFE" w:rsidP="00606FFE">
      <w:pPr>
        <w:spacing w:after="0"/>
        <w:rPr>
          <w:vanish/>
        </w:rPr>
      </w:pPr>
    </w:p>
    <w:tbl>
      <w:tblPr>
        <w:tblpPr w:leftFromText="180" w:rightFromText="180" w:vertAnchor="text" w:horzAnchor="margin" w:tblpXSpec="right" w:tblpY="-36"/>
        <w:tblW w:w="4928" w:type="dxa"/>
        <w:tblLook w:val="04A0" w:firstRow="1" w:lastRow="0" w:firstColumn="1" w:lastColumn="0" w:noHBand="0" w:noVBand="1"/>
      </w:tblPr>
      <w:tblGrid>
        <w:gridCol w:w="4941"/>
      </w:tblGrid>
      <w:tr w:rsidR="00606FFE" w:rsidRPr="000900AA" w14:paraId="28CA8CF2" w14:textId="77777777" w:rsidTr="00A251F6">
        <w:tc>
          <w:tcPr>
            <w:tcW w:w="4928" w:type="dxa"/>
            <w:shd w:val="clear" w:color="auto" w:fill="auto"/>
          </w:tcPr>
          <w:p w14:paraId="2F63F569" w14:textId="77777777" w:rsidR="00606FFE" w:rsidRPr="000900AA" w:rsidRDefault="00606FFE" w:rsidP="00A251F6">
            <w:pPr>
              <w:spacing w:after="0" w:line="240" w:lineRule="auto"/>
              <w:jc w:val="both"/>
              <w:rPr>
                <w:rFonts w:ascii="Times New Roman" w:eastAsia="Calibri" w:hAnsi="Times New Roman" w:cs="Times New Roman"/>
                <w:b/>
                <w:sz w:val="20"/>
                <w:szCs w:val="20"/>
              </w:rPr>
            </w:pPr>
            <w:r>
              <w:rPr>
                <w:noProof/>
                <w:lang w:val="en-US"/>
              </w:rPr>
              <w:drawing>
                <wp:anchor distT="0" distB="0" distL="114300" distR="114300" simplePos="0" relativeHeight="251673600" behindDoc="0" locked="0" layoutInCell="1" allowOverlap="1" wp14:anchorId="24F39D1B" wp14:editId="30DED9E5">
                  <wp:simplePos x="0" y="0"/>
                  <wp:positionH relativeFrom="margin">
                    <wp:align>left</wp:align>
                  </wp:positionH>
                  <wp:positionV relativeFrom="margin">
                    <wp:align>top</wp:align>
                  </wp:positionV>
                  <wp:extent cx="3000375" cy="23761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l="3198" t="6349" r="8730" b="2803"/>
                          <a:stretch>
                            <a:fillRect/>
                          </a:stretch>
                        </pic:blipFill>
                        <pic:spPr bwMode="auto">
                          <a:xfrm>
                            <a:off x="0" y="0"/>
                            <a:ext cx="3000375" cy="2376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6FFE" w:rsidRPr="000900AA" w14:paraId="6FD9136C" w14:textId="77777777" w:rsidTr="00A251F6">
        <w:tc>
          <w:tcPr>
            <w:tcW w:w="4928" w:type="dxa"/>
            <w:shd w:val="clear" w:color="auto" w:fill="auto"/>
          </w:tcPr>
          <w:p w14:paraId="7D8DE48C" w14:textId="77777777"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4: Angular variation of thickness of the film around cylinder 1 at different times.</w:t>
            </w:r>
          </w:p>
          <w:p w14:paraId="4785B762" w14:textId="77777777" w:rsidR="00606FFE" w:rsidRPr="000900AA" w:rsidRDefault="00606FFE" w:rsidP="00A251F6">
            <w:pPr>
              <w:spacing w:after="0" w:line="240" w:lineRule="auto"/>
              <w:rPr>
                <w:rFonts w:ascii="Arial" w:eastAsia="Calibri" w:hAnsi="Arial" w:cs="Arial"/>
                <w:sz w:val="18"/>
                <w:szCs w:val="18"/>
              </w:rPr>
            </w:pPr>
          </w:p>
        </w:tc>
      </w:tr>
    </w:tbl>
    <w:p w14:paraId="75CB1ADB" w14:textId="77777777" w:rsidR="00606FFE" w:rsidRPr="00696058" w:rsidRDefault="00606FFE" w:rsidP="00606FFE">
      <w:pPr>
        <w:jc w:val="both"/>
        <w:rPr>
          <w:rFonts w:ascii="Times New Roman" w:hAnsi="Times New Roman" w:cs="Times New Roman"/>
          <w:sz w:val="8"/>
          <w:szCs w:val="8"/>
        </w:rPr>
      </w:pPr>
      <w:r>
        <w:rPr>
          <w:rFonts w:ascii="Times New Roman" w:hAnsi="Times New Roman" w:cs="Times New Roman"/>
          <w:sz w:val="20"/>
          <w:szCs w:val="20"/>
        </w:rPr>
        <w:t xml:space="preserve"> </w:t>
      </w:r>
    </w:p>
    <w:p w14:paraId="0BD230E2" w14:textId="77777777"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The growth of vapour film around all the other cylinders is being suppressed. The suppression observed is due to the presence of neighbouring cylinders. Further, to have a clear idea about the growth of the vapour film, temporal variation of centroid of vapour mass around all the cylinders has been plotted and shown in figure 3. In the figure, </w:t>
      </w:r>
      <w:proofErr w:type="gramStart"/>
      <w:r>
        <w:rPr>
          <w:rFonts w:ascii="Times New Roman" w:hAnsi="Times New Roman" w:cs="Times New Roman"/>
          <w:sz w:val="20"/>
          <w:szCs w:val="20"/>
        </w:rPr>
        <w:t>it can be seen that the</w:t>
      </w:r>
      <w:proofErr w:type="gramEnd"/>
      <w:r>
        <w:rPr>
          <w:rFonts w:ascii="Times New Roman" w:hAnsi="Times New Roman" w:cs="Times New Roman"/>
          <w:sz w:val="20"/>
          <w:szCs w:val="20"/>
        </w:rPr>
        <w:t xml:space="preserve"> radius of centroid of cylinder 1 is more at the start, indicating faster growth of film. R</w:t>
      </w:r>
      <w:r w:rsidRPr="000444AE">
        <w:rPr>
          <w:rFonts w:ascii="Times New Roman" w:hAnsi="Times New Roman" w:cs="Times New Roman"/>
          <w:sz w:val="20"/>
          <w:szCs w:val="20"/>
        </w:rPr>
        <w:t>adial profile of film thick</w:t>
      </w:r>
      <w:r>
        <w:rPr>
          <w:rFonts w:ascii="Times New Roman" w:hAnsi="Times New Roman" w:cs="Times New Roman"/>
          <w:sz w:val="20"/>
          <w:szCs w:val="20"/>
        </w:rPr>
        <w:t xml:space="preserve">ness showed pseudo-periodicity, the </w:t>
      </w:r>
      <w:r w:rsidRPr="000444AE">
        <w:rPr>
          <w:rFonts w:ascii="Times New Roman" w:hAnsi="Times New Roman" w:cs="Times New Roman"/>
          <w:sz w:val="20"/>
          <w:szCs w:val="20"/>
        </w:rPr>
        <w:t>amplitude</w:t>
      </w:r>
      <w:r>
        <w:rPr>
          <w:rFonts w:ascii="Times New Roman" w:hAnsi="Times New Roman" w:cs="Times New Roman"/>
          <w:sz w:val="20"/>
          <w:szCs w:val="20"/>
        </w:rPr>
        <w:t xml:space="preserve"> of which is less for cylinders 2, 3 and 4 as compared to cylinder 1</w:t>
      </w:r>
      <w:r w:rsidRPr="000444AE">
        <w:rPr>
          <w:rFonts w:ascii="Times New Roman" w:hAnsi="Times New Roman" w:cs="Times New Roman"/>
          <w:sz w:val="20"/>
          <w:szCs w:val="20"/>
        </w:rPr>
        <w:t xml:space="preserve"> due to suppression.</w:t>
      </w:r>
      <w:r>
        <w:rPr>
          <w:rFonts w:ascii="Times New Roman" w:hAnsi="Times New Roman" w:cs="Times New Roman"/>
          <w:sz w:val="20"/>
          <w:szCs w:val="20"/>
        </w:rPr>
        <w:t xml:space="preserve"> It should be noted that despite all the variations in growth of the film, the film </w:t>
      </w:r>
      <w:proofErr w:type="gramStart"/>
      <w:r>
        <w:rPr>
          <w:rFonts w:ascii="Times New Roman" w:hAnsi="Times New Roman" w:cs="Times New Roman"/>
          <w:sz w:val="20"/>
          <w:szCs w:val="20"/>
        </w:rPr>
        <w:t>remains laterally symmetric around all the cylinders at all times</w:t>
      </w:r>
      <w:proofErr w:type="gramEnd"/>
      <w:r>
        <w:rPr>
          <w:rFonts w:ascii="Times New Roman" w:hAnsi="Times New Roman" w:cs="Times New Roman"/>
          <w:sz w:val="20"/>
          <w:szCs w:val="20"/>
        </w:rPr>
        <w:t>. Figure 4 shows the angular variation of thickness of vapour film around cylinder 1 at different times. The angle is measured from the horizontal line which passes through the centre of the cylinder as shown in figure.</w:t>
      </w:r>
    </w:p>
    <w:p w14:paraId="19AA022E" w14:textId="77777777" w:rsidR="00606FFE" w:rsidRDefault="00606FFE" w:rsidP="00606FFE">
      <w:pPr>
        <w:jc w:val="both"/>
        <w:rPr>
          <w:rFonts w:ascii="Times New Roman" w:hAnsi="Times New Roman" w:cs="Times New Roman"/>
          <w:sz w:val="20"/>
          <w:szCs w:val="20"/>
        </w:rPr>
      </w:pPr>
    </w:p>
    <w:p w14:paraId="2A225B68" w14:textId="77777777" w:rsidR="00606FFE" w:rsidRPr="000900AA" w:rsidRDefault="00606FFE" w:rsidP="00606FFE">
      <w:pPr>
        <w:spacing w:after="0"/>
        <w:rPr>
          <w:vanish/>
        </w:rPr>
      </w:pPr>
    </w:p>
    <w:tbl>
      <w:tblPr>
        <w:tblpPr w:leftFromText="180" w:rightFromText="180" w:vertAnchor="text" w:horzAnchor="margin" w:tblpX="250" w:tblpY="-13"/>
        <w:tblOverlap w:val="never"/>
        <w:tblW w:w="10165" w:type="dxa"/>
        <w:tblLook w:val="04A0" w:firstRow="1" w:lastRow="0" w:firstColumn="1" w:lastColumn="0" w:noHBand="0" w:noVBand="1"/>
      </w:tblPr>
      <w:tblGrid>
        <w:gridCol w:w="5391"/>
        <w:gridCol w:w="5091"/>
      </w:tblGrid>
      <w:tr w:rsidR="00606FFE" w:rsidRPr="000900AA" w14:paraId="0C48DF7C" w14:textId="77777777" w:rsidTr="00A251F6">
        <w:tc>
          <w:tcPr>
            <w:tcW w:w="5076" w:type="dxa"/>
            <w:shd w:val="clear" w:color="auto" w:fill="auto"/>
          </w:tcPr>
          <w:p w14:paraId="03195D35" w14:textId="77777777" w:rsidR="00606FFE" w:rsidRPr="000900AA" w:rsidRDefault="00606FFE" w:rsidP="00A251F6">
            <w:pPr>
              <w:spacing w:after="0" w:line="240" w:lineRule="auto"/>
              <w:jc w:val="both"/>
              <w:rPr>
                <w:rFonts w:ascii="Times New Roman" w:eastAsia="Calibri" w:hAnsi="Times New Roman" w:cs="Times New Roman"/>
                <w:b/>
                <w:sz w:val="20"/>
                <w:szCs w:val="20"/>
              </w:rPr>
            </w:pPr>
            <w:r w:rsidRPr="000900AA">
              <w:rPr>
                <w:rFonts w:ascii="Times New Roman" w:hAnsi="Times New Roman"/>
                <w:b/>
                <w:noProof/>
                <w:sz w:val="20"/>
                <w:szCs w:val="20"/>
                <w:lang w:val="en-US"/>
              </w:rPr>
              <w:drawing>
                <wp:inline distT="0" distB="0" distL="0" distR="0" wp14:anchorId="7059EBCC" wp14:editId="44B7E77F">
                  <wp:extent cx="3286125"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l="8060" t="8490" r="12239"/>
                          <a:stretch>
                            <a:fillRect/>
                          </a:stretch>
                        </pic:blipFill>
                        <pic:spPr bwMode="auto">
                          <a:xfrm>
                            <a:off x="0" y="0"/>
                            <a:ext cx="3286125" cy="2647950"/>
                          </a:xfrm>
                          <a:prstGeom prst="rect">
                            <a:avLst/>
                          </a:prstGeom>
                          <a:noFill/>
                          <a:ln>
                            <a:noFill/>
                          </a:ln>
                        </pic:spPr>
                      </pic:pic>
                    </a:graphicData>
                  </a:graphic>
                </wp:inline>
              </w:drawing>
            </w:r>
          </w:p>
        </w:tc>
        <w:tc>
          <w:tcPr>
            <w:tcW w:w="5089" w:type="dxa"/>
            <w:shd w:val="clear" w:color="auto" w:fill="auto"/>
          </w:tcPr>
          <w:p w14:paraId="7F19651C" w14:textId="77777777" w:rsidR="00606FFE" w:rsidRPr="000900AA" w:rsidRDefault="00606FFE" w:rsidP="00A251F6">
            <w:pPr>
              <w:spacing w:after="0" w:line="240" w:lineRule="auto"/>
              <w:jc w:val="both"/>
              <w:rPr>
                <w:rFonts w:ascii="Times New Roman" w:eastAsia="Calibri" w:hAnsi="Times New Roman" w:cs="Times New Roman"/>
                <w:b/>
                <w:sz w:val="20"/>
                <w:szCs w:val="20"/>
              </w:rPr>
            </w:pPr>
            <w:r w:rsidRPr="000900AA">
              <w:rPr>
                <w:rFonts w:ascii="Times New Roman" w:hAnsi="Times New Roman"/>
                <w:b/>
                <w:noProof/>
                <w:sz w:val="20"/>
                <w:szCs w:val="20"/>
                <w:lang w:val="en-US"/>
              </w:rPr>
              <w:drawing>
                <wp:inline distT="0" distB="0" distL="0" distR="0" wp14:anchorId="5E38CCAD" wp14:editId="4410E502">
                  <wp:extent cx="3095625"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l="7867" t="8400" r="12334"/>
                          <a:stretch>
                            <a:fillRect/>
                          </a:stretch>
                        </pic:blipFill>
                        <pic:spPr bwMode="auto">
                          <a:xfrm>
                            <a:off x="0" y="0"/>
                            <a:ext cx="3095625" cy="2495550"/>
                          </a:xfrm>
                          <a:prstGeom prst="rect">
                            <a:avLst/>
                          </a:prstGeom>
                          <a:noFill/>
                          <a:ln>
                            <a:noFill/>
                          </a:ln>
                        </pic:spPr>
                      </pic:pic>
                    </a:graphicData>
                  </a:graphic>
                </wp:inline>
              </w:drawing>
            </w:r>
          </w:p>
        </w:tc>
      </w:tr>
      <w:tr w:rsidR="00606FFE" w:rsidRPr="000900AA" w14:paraId="004D5E5E" w14:textId="77777777" w:rsidTr="00A251F6">
        <w:tc>
          <w:tcPr>
            <w:tcW w:w="5076" w:type="dxa"/>
            <w:shd w:val="clear" w:color="auto" w:fill="auto"/>
          </w:tcPr>
          <w:p w14:paraId="62B24946" w14:textId="77777777" w:rsidR="00606FFE" w:rsidRPr="000900AA" w:rsidRDefault="00606FFE" w:rsidP="00A251F6">
            <w:pPr>
              <w:spacing w:after="0" w:line="240" w:lineRule="auto"/>
              <w:jc w:val="center"/>
              <w:rPr>
                <w:rFonts w:ascii="Times New Roman" w:eastAsia="Calibri" w:hAnsi="Times New Roman" w:cs="Times New Roman"/>
                <w:b/>
                <w:sz w:val="20"/>
                <w:szCs w:val="20"/>
              </w:rPr>
            </w:pPr>
            <w:r w:rsidRPr="000900AA">
              <w:rPr>
                <w:rFonts w:ascii="Arial" w:eastAsia="Calibri" w:hAnsi="Arial" w:cs="Arial"/>
                <w:sz w:val="18"/>
                <w:szCs w:val="18"/>
              </w:rPr>
              <w:t>Figure 6. Temporal variation of centroid of vapour mass present around the cylinders in first column.</w:t>
            </w:r>
          </w:p>
        </w:tc>
        <w:tc>
          <w:tcPr>
            <w:tcW w:w="5089" w:type="dxa"/>
            <w:shd w:val="clear" w:color="auto" w:fill="auto"/>
          </w:tcPr>
          <w:p w14:paraId="6CB1E93B" w14:textId="77777777" w:rsidR="00606FFE" w:rsidRPr="000900AA" w:rsidRDefault="00606FFE" w:rsidP="00A251F6">
            <w:pPr>
              <w:spacing w:after="0" w:line="240" w:lineRule="auto"/>
              <w:jc w:val="center"/>
              <w:rPr>
                <w:rFonts w:ascii="Times New Roman" w:eastAsia="Calibri" w:hAnsi="Times New Roman" w:cs="Times New Roman"/>
                <w:b/>
                <w:sz w:val="20"/>
                <w:szCs w:val="20"/>
              </w:rPr>
            </w:pPr>
            <w:r w:rsidRPr="000900AA">
              <w:rPr>
                <w:rFonts w:ascii="Arial" w:eastAsia="Calibri" w:hAnsi="Arial" w:cs="Arial"/>
                <w:sz w:val="18"/>
                <w:szCs w:val="18"/>
              </w:rPr>
              <w:t>Figure 7. Temporal variation of centroid of vapour mass present around the cylinders in first column</w:t>
            </w:r>
          </w:p>
        </w:tc>
      </w:tr>
    </w:tbl>
    <w:p w14:paraId="3329FF36" w14:textId="77777777" w:rsidR="00606FFE" w:rsidRDefault="00606FFE" w:rsidP="00606FFE">
      <w:pPr>
        <w:jc w:val="both"/>
        <w:rPr>
          <w:rFonts w:ascii="Times New Roman" w:hAnsi="Times New Roman" w:cs="Times New Roman"/>
          <w:sz w:val="20"/>
          <w:szCs w:val="20"/>
        </w:rPr>
      </w:pPr>
    </w:p>
    <w:p w14:paraId="6D3083E5" w14:textId="77777777" w:rsidR="00606FFE" w:rsidRPr="005F17DA" w:rsidRDefault="00606FFE" w:rsidP="005F17DA">
      <w:pPr>
        <w:jc w:val="both"/>
        <w:rPr>
          <w:rFonts w:ascii="Times New Roman" w:hAnsi="Times New Roman" w:cs="Times New Roman"/>
          <w:sz w:val="20"/>
          <w:szCs w:val="20"/>
        </w:rPr>
      </w:pPr>
      <w:r>
        <w:rPr>
          <w:rFonts w:ascii="Times New Roman" w:hAnsi="Times New Roman" w:cs="Times New Roman"/>
          <w:sz w:val="20"/>
          <w:szCs w:val="20"/>
        </w:rPr>
        <w:t xml:space="preserve">    It can be observed from the figure that the thickness of the film </w:t>
      </w:r>
      <w:proofErr w:type="gramStart"/>
      <w:r>
        <w:rPr>
          <w:rFonts w:ascii="Times New Roman" w:hAnsi="Times New Roman" w:cs="Times New Roman"/>
          <w:sz w:val="20"/>
          <w:szCs w:val="20"/>
        </w:rPr>
        <w:t>is more over the upper half of the cylinder as compared to the lower half at all times</w:t>
      </w:r>
      <w:proofErr w:type="gramEnd"/>
      <w:r>
        <w:rPr>
          <w:rFonts w:ascii="Times New Roman" w:hAnsi="Times New Roman" w:cs="Times New Roman"/>
          <w:sz w:val="20"/>
          <w:szCs w:val="20"/>
        </w:rPr>
        <w:t>. This is due to the b</w:t>
      </w:r>
      <w:r w:rsidRPr="000444AE">
        <w:rPr>
          <w:rFonts w:ascii="Times New Roman" w:hAnsi="Times New Roman" w:cs="Times New Roman"/>
          <w:sz w:val="20"/>
          <w:szCs w:val="20"/>
        </w:rPr>
        <w:t>uoyancy effect</w:t>
      </w:r>
      <w:r>
        <w:rPr>
          <w:rFonts w:ascii="Times New Roman" w:hAnsi="Times New Roman" w:cs="Times New Roman"/>
          <w:sz w:val="20"/>
          <w:szCs w:val="20"/>
        </w:rPr>
        <w:t>, because of which we observe</w:t>
      </w:r>
      <w:r w:rsidRPr="000444AE">
        <w:rPr>
          <w:rFonts w:ascii="Times New Roman" w:hAnsi="Times New Roman" w:cs="Times New Roman"/>
          <w:sz w:val="20"/>
          <w:szCs w:val="20"/>
        </w:rPr>
        <w:t xml:space="preserve"> thickest vapour film on top of the cylinder and continuous azimuthal thinning.</w:t>
      </w:r>
      <w:r>
        <w:rPr>
          <w:rFonts w:ascii="Times New Roman" w:hAnsi="Times New Roman" w:cs="Times New Roman"/>
          <w:sz w:val="20"/>
          <w:szCs w:val="20"/>
        </w:rPr>
        <w:t xml:space="preserve"> It can also be observed from figure 4 that the peak point of the graph is increasing with time, which shows that the thickness of the vapour film on top of the cylinder increases with time. </w:t>
      </w:r>
    </w:p>
    <w:p w14:paraId="7940E924" w14:textId="77777777" w:rsidR="00606FFE" w:rsidRPr="00D5416F" w:rsidRDefault="00606FFE" w:rsidP="00606FFE">
      <w:pPr>
        <w:jc w:val="both"/>
        <w:rPr>
          <w:rFonts w:ascii="Arial" w:hAnsi="Arial" w:cs="Arial"/>
          <w:b/>
          <w:sz w:val="20"/>
          <w:szCs w:val="20"/>
        </w:rPr>
      </w:pPr>
      <w:r w:rsidRPr="00D5416F">
        <w:rPr>
          <w:rFonts w:ascii="Arial" w:hAnsi="Arial" w:cs="Arial"/>
          <w:b/>
          <w:sz w:val="20"/>
          <w:szCs w:val="20"/>
        </w:rPr>
        <w:t>Vapour film growth around cylinders in stack of rectangular array</w:t>
      </w:r>
    </w:p>
    <w:p w14:paraId="4A3CFB25" w14:textId="77777777"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To observe the effect of cylinders in horizontal array as well as vertical direction on film growth, simulations have been carried out with arrangement of stack in rectangular array (Figure 1). Phase contours have been plotted at different time steps and shown in figure 5. To clearly visualize the difference in film growth around cylinders, zoomed view of two cylinders from the top row (red box) and two cylinders from the bottom row (green box) have been shown separately. It can be clearly seen from the figure that the vapour film present around the top cylinder grows freely, whereas, the vapour film around the lower cylinders gets suppressed due to the presence of cylinders above in vertical direction. The presence of neighbouring cylinders </w:t>
      </w:r>
      <w:proofErr w:type="gramStart"/>
      <w:r>
        <w:rPr>
          <w:rFonts w:ascii="Times New Roman" w:hAnsi="Times New Roman" w:cs="Times New Roman"/>
          <w:sz w:val="20"/>
          <w:szCs w:val="20"/>
        </w:rPr>
        <w:t>offers resistance to</w:t>
      </w:r>
      <w:proofErr w:type="gramEnd"/>
      <w:r>
        <w:rPr>
          <w:rFonts w:ascii="Times New Roman" w:hAnsi="Times New Roman" w:cs="Times New Roman"/>
          <w:sz w:val="20"/>
          <w:szCs w:val="20"/>
        </w:rPr>
        <w:t xml:space="preserve"> the growth of the vapour film around the lower cylinders. </w:t>
      </w:r>
    </w:p>
    <w:p w14:paraId="207B9807" w14:textId="77777777"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Figure 6 and 7 shows the variation of centroid of vapour mass with time. The numbering of cylinders has been shown in figure 1. From figure 6, </w:t>
      </w:r>
      <w:proofErr w:type="gramStart"/>
      <w:r>
        <w:rPr>
          <w:rFonts w:ascii="Times New Roman" w:hAnsi="Times New Roman" w:cs="Times New Roman"/>
          <w:sz w:val="20"/>
          <w:szCs w:val="20"/>
        </w:rPr>
        <w:t>it is clear that the</w:t>
      </w:r>
      <w:proofErr w:type="gramEnd"/>
      <w:r>
        <w:rPr>
          <w:rFonts w:ascii="Times New Roman" w:hAnsi="Times New Roman" w:cs="Times New Roman"/>
          <w:sz w:val="20"/>
          <w:szCs w:val="20"/>
        </w:rPr>
        <w:t xml:space="preserve"> radius of centroid is more for the top cylinder (cylinder 1) as compared to other cylinders in the first column indicating that the film growth around the cylinder 1 is faster. Similarly, from figure 7, it can be observed that the vapour film growth is more for the first cylinder in the central column of cylinders (cylinder 5). By comparing the figures 6 and 7, one can note that the radius of centroid of vapour mass around cylinder 1 is more than that of cylinder 5. This indicates that among the cylinders in the top row, the vapour film grows more around the corner most cylinders (cylinder 1). </w:t>
      </w:r>
    </w:p>
    <w:tbl>
      <w:tblPr>
        <w:tblW w:w="0" w:type="auto"/>
        <w:tblInd w:w="108" w:type="dxa"/>
        <w:tblLayout w:type="fixed"/>
        <w:tblLook w:val="04A0" w:firstRow="1" w:lastRow="0" w:firstColumn="1" w:lastColumn="0" w:noHBand="0" w:noVBand="1"/>
      </w:tblPr>
      <w:tblGrid>
        <w:gridCol w:w="4962"/>
      </w:tblGrid>
      <w:tr w:rsidR="00606FFE" w:rsidRPr="000900AA" w14:paraId="26CDCFF1" w14:textId="77777777" w:rsidTr="00A251F6">
        <w:tc>
          <w:tcPr>
            <w:tcW w:w="4962" w:type="dxa"/>
            <w:shd w:val="clear" w:color="auto" w:fill="auto"/>
          </w:tcPr>
          <w:p w14:paraId="4084195D" w14:textId="77777777" w:rsidR="00606FFE" w:rsidRPr="000900AA" w:rsidRDefault="00606FFE" w:rsidP="00A251F6">
            <w:pPr>
              <w:spacing w:after="0" w:line="240" w:lineRule="auto"/>
              <w:jc w:val="both"/>
              <w:rPr>
                <w:rFonts w:ascii="Times New Roman" w:eastAsia="Calibri" w:hAnsi="Times New Roman" w:cs="Times New Roman"/>
                <w:sz w:val="20"/>
                <w:szCs w:val="20"/>
              </w:rPr>
            </w:pPr>
            <w:r w:rsidRPr="000900AA">
              <w:rPr>
                <w:noProof/>
                <w:lang w:val="en-US"/>
              </w:rPr>
              <w:drawing>
                <wp:inline distT="0" distB="0" distL="0" distR="0" wp14:anchorId="572E6799" wp14:editId="2A494BAC">
                  <wp:extent cx="3114675"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5">
                            <a:extLst>
                              <a:ext uri="{28A0092B-C50C-407E-A947-70E740481C1C}">
                                <a14:useLocalDpi xmlns:a14="http://schemas.microsoft.com/office/drawing/2010/main" val="0"/>
                              </a:ext>
                            </a:extLst>
                          </a:blip>
                          <a:srcRect l="8682" t="8096" r="11676"/>
                          <a:stretch>
                            <a:fillRect/>
                          </a:stretch>
                        </pic:blipFill>
                        <pic:spPr bwMode="auto">
                          <a:xfrm>
                            <a:off x="0" y="0"/>
                            <a:ext cx="3114675" cy="2524125"/>
                          </a:xfrm>
                          <a:prstGeom prst="rect">
                            <a:avLst/>
                          </a:prstGeom>
                          <a:noFill/>
                          <a:ln>
                            <a:noFill/>
                          </a:ln>
                        </pic:spPr>
                      </pic:pic>
                    </a:graphicData>
                  </a:graphic>
                </wp:inline>
              </w:drawing>
            </w:r>
          </w:p>
        </w:tc>
      </w:tr>
      <w:tr w:rsidR="00606FFE" w:rsidRPr="000900AA" w14:paraId="164B65EF" w14:textId="77777777" w:rsidTr="00A251F6">
        <w:tc>
          <w:tcPr>
            <w:tcW w:w="4962" w:type="dxa"/>
            <w:shd w:val="clear" w:color="auto" w:fill="auto"/>
          </w:tcPr>
          <w:p w14:paraId="40AF0B25" w14:textId="77777777"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8. Angular variation of centroid with time</w:t>
            </w:r>
          </w:p>
        </w:tc>
      </w:tr>
    </w:tbl>
    <w:p w14:paraId="65922CFB" w14:textId="77777777" w:rsidR="00606FFE" w:rsidRDefault="00606FFE" w:rsidP="00606FFE">
      <w:pPr>
        <w:jc w:val="both"/>
        <w:rPr>
          <w:rFonts w:ascii="Times New Roman" w:hAnsi="Times New Roman" w:cs="Times New Roman"/>
          <w:sz w:val="20"/>
          <w:szCs w:val="20"/>
        </w:rPr>
      </w:pPr>
    </w:p>
    <w:p w14:paraId="33D48B00" w14:textId="77777777"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Further, from figure 5 </w:t>
      </w:r>
      <w:proofErr w:type="gramStart"/>
      <w:r>
        <w:rPr>
          <w:rFonts w:ascii="Times New Roman" w:hAnsi="Times New Roman" w:cs="Times New Roman"/>
          <w:sz w:val="20"/>
          <w:szCs w:val="20"/>
        </w:rPr>
        <w:t>it can be seen that a</w:t>
      </w:r>
      <w:r w:rsidRPr="00917528">
        <w:rPr>
          <w:rFonts w:ascii="Times New Roman" w:hAnsi="Times New Roman" w:cs="Times New Roman"/>
          <w:sz w:val="20"/>
          <w:szCs w:val="20"/>
        </w:rPr>
        <w:t>long</w:t>
      </w:r>
      <w:proofErr w:type="gramEnd"/>
      <w:r w:rsidRPr="00917528">
        <w:rPr>
          <w:rFonts w:ascii="Times New Roman" w:hAnsi="Times New Roman" w:cs="Times New Roman"/>
          <w:sz w:val="20"/>
          <w:szCs w:val="20"/>
        </w:rPr>
        <w:t xml:space="preserve"> with vertical interactions, mutual lateral biasing of vapour growth is observed in stack of rectangular array.</w:t>
      </w:r>
      <w:r>
        <w:rPr>
          <w:rFonts w:ascii="Times New Roman" w:hAnsi="Times New Roman" w:cs="Times New Roman"/>
          <w:sz w:val="20"/>
          <w:szCs w:val="20"/>
        </w:rPr>
        <w:t xml:space="preserve"> </w:t>
      </w:r>
      <w:r w:rsidRPr="00917528">
        <w:rPr>
          <w:rFonts w:ascii="Times New Roman" w:hAnsi="Times New Roman" w:cs="Times New Roman"/>
          <w:sz w:val="20"/>
          <w:szCs w:val="20"/>
        </w:rPr>
        <w:t>Lateral symmetry in the vapour growth depicts affinity of vapour film hinting towards bubble merging</w:t>
      </w:r>
      <w:r>
        <w:rPr>
          <w:rFonts w:ascii="Times New Roman" w:hAnsi="Times New Roman" w:cs="Times New Roman"/>
          <w:sz w:val="20"/>
          <w:szCs w:val="20"/>
        </w:rPr>
        <w:t xml:space="preserve">. Figure 8 shows the variation of centroid angle which is plotted to show the direction of movement of vapour film. A </w:t>
      </w:r>
      <w:proofErr w:type="gramStart"/>
      <w:r>
        <w:rPr>
          <w:rFonts w:ascii="Times New Roman" w:hAnsi="Times New Roman" w:cs="Times New Roman"/>
          <w:sz w:val="20"/>
          <w:szCs w:val="20"/>
        </w:rPr>
        <w:t>b</w:t>
      </w:r>
      <w:r w:rsidRPr="00917528">
        <w:rPr>
          <w:rFonts w:ascii="Times New Roman" w:hAnsi="Times New Roman" w:cs="Times New Roman"/>
          <w:sz w:val="20"/>
          <w:szCs w:val="20"/>
        </w:rPr>
        <w:t>ell shaped</w:t>
      </w:r>
      <w:proofErr w:type="gramEnd"/>
      <w:r w:rsidRPr="00917528">
        <w:rPr>
          <w:rFonts w:ascii="Times New Roman" w:hAnsi="Times New Roman" w:cs="Times New Roman"/>
          <w:sz w:val="20"/>
          <w:szCs w:val="20"/>
        </w:rPr>
        <w:t xml:space="preserve"> nature of temporal traversal in location of vapour mass centroid supports possibility of bubble merging; even before release through nucleation</w:t>
      </w:r>
      <w:r>
        <w:rPr>
          <w:rFonts w:ascii="Times New Roman" w:hAnsi="Times New Roman" w:cs="Times New Roman"/>
          <w:sz w:val="20"/>
          <w:szCs w:val="20"/>
        </w:rPr>
        <w:t>.</w:t>
      </w:r>
    </w:p>
    <w:p w14:paraId="7BE55577" w14:textId="77777777" w:rsidR="00606FFE" w:rsidRPr="005F17DA" w:rsidRDefault="00606FFE" w:rsidP="00606FFE">
      <w:pPr>
        <w:jc w:val="both"/>
        <w:rPr>
          <w:rFonts w:ascii="Times New Roman" w:hAnsi="Times New Roman" w:cs="Times New Roman"/>
          <w:sz w:val="20"/>
          <w:szCs w:val="20"/>
        </w:rPr>
      </w:pPr>
      <w:r w:rsidRPr="00220DD5">
        <w:rPr>
          <w:rFonts w:ascii="Times New Roman" w:hAnsi="Times New Roman" w:cs="Times New Roman"/>
          <w:sz w:val="20"/>
          <w:szCs w:val="20"/>
        </w:rPr>
        <w:t xml:space="preserve">There is a good amount of literature on performance investigation of closed loop GSHP systems. </w:t>
      </w:r>
      <w:proofErr w:type="spellStart"/>
      <w:r w:rsidRPr="00220DD5">
        <w:rPr>
          <w:rFonts w:ascii="Times New Roman" w:hAnsi="Times New Roman" w:cs="Times New Roman"/>
          <w:sz w:val="20"/>
          <w:szCs w:val="20"/>
        </w:rPr>
        <w:t>Menseh</w:t>
      </w:r>
      <w:proofErr w:type="spellEnd"/>
      <w:r w:rsidRPr="00220DD5">
        <w:rPr>
          <w:rFonts w:ascii="Times New Roman" w:hAnsi="Times New Roman" w:cs="Times New Roman"/>
          <w:sz w:val="20"/>
          <w:szCs w:val="20"/>
        </w:rPr>
        <w:t xml:space="preserve"> et al. [10] carried out a numerical analysis and an experimental investigation on the effect of building load and heat pump unit performance for vertical closed loop ground heat exchanger using Ground Loop Design (GLD) software and experimental investigation was conducted to validate the effects of peak load variation on the GLHX design. It was found that decrease in heat pump unit fluid flow rate led to decrease in the GLHX length in all operating modes and increment of COP of heat </w:t>
      </w:r>
      <w:r w:rsidRPr="00220DD5">
        <w:rPr>
          <w:rFonts w:ascii="Times New Roman" w:hAnsi="Times New Roman" w:cs="Times New Roman"/>
          <w:sz w:val="20"/>
          <w:szCs w:val="20"/>
        </w:rPr>
        <w:lastRenderedPageBreak/>
        <w:t xml:space="preserve">pump unit declined when operated in cooling mode. For an increase in 40% in cooling and heating load there was an increase of 44.45% and 69.24% in the GLHX length respectively. </w:t>
      </w:r>
      <w:proofErr w:type="spellStart"/>
      <w:r w:rsidRPr="00220DD5">
        <w:rPr>
          <w:rFonts w:ascii="Times New Roman" w:hAnsi="Times New Roman" w:cs="Times New Roman"/>
          <w:sz w:val="20"/>
          <w:szCs w:val="20"/>
        </w:rPr>
        <w:t>Zarrella</w:t>
      </w:r>
      <w:proofErr w:type="spellEnd"/>
      <w:r w:rsidRPr="00220DD5">
        <w:rPr>
          <w:rFonts w:ascii="Times New Roman" w:hAnsi="Times New Roman" w:cs="Times New Roman"/>
          <w:sz w:val="20"/>
          <w:szCs w:val="20"/>
        </w:rPr>
        <w:t xml:space="preserve"> et al. [11] made an investigation using a simulation model of GSHP system on how variable flow of heat carrier fluid of ground loop affects energy efficiency of the system. Single U-tube, double U-tube and coaxial pipe heat exchangers were </w:t>
      </w:r>
      <w:proofErr w:type="spellStart"/>
      <w:r w:rsidRPr="00220DD5">
        <w:rPr>
          <w:rFonts w:ascii="Times New Roman" w:hAnsi="Times New Roman" w:cs="Times New Roman"/>
          <w:sz w:val="20"/>
          <w:szCs w:val="20"/>
        </w:rPr>
        <w:t>analyzed</w:t>
      </w:r>
      <w:proofErr w:type="spellEnd"/>
      <w:r w:rsidRPr="00220DD5">
        <w:rPr>
          <w:rFonts w:ascii="Times New Roman" w:hAnsi="Times New Roman" w:cs="Times New Roman"/>
          <w:sz w:val="20"/>
          <w:szCs w:val="20"/>
        </w:rPr>
        <w:t xml:space="preserve">. Three control strategies were investigated viz., constant mass flow rate of ground loop in both cooling and heating modes, constant temperature difference of 3°C and 5°C in heating and cooling mode respectively and the same temperature difference of 3°C for both the modes. For constant mass flow rate of ground </w:t>
      </w:r>
      <w:proofErr w:type="gramStart"/>
      <w:r w:rsidRPr="00220DD5">
        <w:rPr>
          <w:rFonts w:ascii="Times New Roman" w:hAnsi="Times New Roman" w:cs="Times New Roman"/>
          <w:sz w:val="20"/>
          <w:szCs w:val="20"/>
        </w:rPr>
        <w:t>loop</w:t>
      </w:r>
      <w:proofErr w:type="gramEnd"/>
      <w:r w:rsidRPr="00220DD5">
        <w:rPr>
          <w:rFonts w:ascii="Times New Roman" w:hAnsi="Times New Roman" w:cs="Times New Roman"/>
          <w:sz w:val="20"/>
          <w:szCs w:val="20"/>
        </w:rPr>
        <w:t xml:space="preserve"> the heat pump showed the best performance, 5°C temperature difference across heat pump in cooling mode led to 9 to 14% decrease of energy performance whereas 3°C temperature difference led to 4% degradation of energy performance. Li et al. [12] established a numerical model to investigate operation of horizontal spiral coil type GSHP system </w:t>
      </w:r>
      <w:proofErr w:type="gramStart"/>
      <w:r w:rsidRPr="00220DD5">
        <w:rPr>
          <w:rFonts w:ascii="Times New Roman" w:hAnsi="Times New Roman" w:cs="Times New Roman"/>
          <w:sz w:val="20"/>
          <w:szCs w:val="20"/>
        </w:rPr>
        <w:t>taking into account</w:t>
      </w:r>
      <w:proofErr w:type="gramEnd"/>
      <w:r w:rsidRPr="00220DD5">
        <w:rPr>
          <w:rFonts w:ascii="Times New Roman" w:hAnsi="Times New Roman" w:cs="Times New Roman"/>
          <w:sz w:val="20"/>
          <w:szCs w:val="20"/>
        </w:rPr>
        <w:t xml:space="preserve"> the geothermal gradient and changing ambient air temperature and compared circulating fluid temperature with or without considering the effect of COP of heat pump. </w:t>
      </w:r>
      <w:proofErr w:type="gramStart"/>
      <w:r w:rsidRPr="00220DD5">
        <w:rPr>
          <w:rFonts w:ascii="Times New Roman" w:hAnsi="Times New Roman" w:cs="Times New Roman"/>
          <w:sz w:val="20"/>
          <w:szCs w:val="20"/>
        </w:rPr>
        <w:t>Also</w:t>
      </w:r>
      <w:proofErr w:type="gramEnd"/>
      <w:r w:rsidRPr="00220DD5">
        <w:rPr>
          <w:rFonts w:ascii="Times New Roman" w:hAnsi="Times New Roman" w:cs="Times New Roman"/>
          <w:sz w:val="20"/>
          <w:szCs w:val="20"/>
        </w:rPr>
        <w:t xml:space="preserve"> they investigated the impacts of daily variation of thermal load and operation loads on system performance. It was found that temperature difference of fluid inlet temperatures could be 4.1% and 11.5% with and without considering the heat pump in heating and cooling models. </w:t>
      </w:r>
      <w:proofErr w:type="spellStart"/>
      <w:r w:rsidRPr="00220DD5">
        <w:rPr>
          <w:rFonts w:ascii="Times New Roman" w:hAnsi="Times New Roman" w:cs="Times New Roman"/>
          <w:sz w:val="20"/>
          <w:szCs w:val="20"/>
        </w:rPr>
        <w:t>Awani</w:t>
      </w:r>
      <w:proofErr w:type="spellEnd"/>
      <w:r w:rsidRPr="00220DD5">
        <w:rPr>
          <w:rFonts w:ascii="Times New Roman" w:hAnsi="Times New Roman" w:cs="Times New Roman"/>
          <w:sz w:val="20"/>
          <w:szCs w:val="20"/>
        </w:rPr>
        <w:t xml:space="preserve"> et al. [13] demonstrated a study on the performance of heat pump system assisted by geothermal and solar energy under the climate conditions of Tunisia. The system was designed and installed in Thermal Process Laboratory, Research and Technology Centre of Energy. Numerical model based on TRNSYS software was used on system with 14.8 m2 GHX surface area, 1 m depth of GHX, 0.3 m distance between two tubes and 8 m2 solar collector surface area. COP of the system reached 5.5 when the solar radiation intensity reached the maximum value at 13.00 h. They suggested that horizontal GHX can be used successfully for heating greenhouses since reduction in ground temperature did not exceed 1°C. Verma and Murugesan [14] made a study on the performance of Solar Assisted Ground Source Heat Pump system (SAGSHP) used for solar energy storage in day time and space heating in night time. Results showed that with increase in mass flow rate of circulating fluid the heat absorbed in solar collector increased from 2.07 to 2.56 kW and only 1.991 to 2.414 kW of solar heat was rejected into the ground during day time. About 21% increase in heat injection into the ground was achieved with increase of mass flow rate of heat transfer fluid in GHX and solar collector. Due to charging of the ground there was 23% increase of COP of the system.</w:t>
      </w:r>
    </w:p>
    <w:p w14:paraId="280CA799" w14:textId="77777777" w:rsidR="00606FFE" w:rsidRPr="00F54CF4" w:rsidRDefault="00606FFE" w:rsidP="00606FFE">
      <w:pPr>
        <w:jc w:val="both"/>
        <w:rPr>
          <w:rFonts w:ascii="Arial" w:hAnsi="Arial" w:cs="Arial"/>
          <w:b/>
          <w:sz w:val="20"/>
          <w:szCs w:val="20"/>
        </w:rPr>
      </w:pPr>
      <w:r w:rsidRPr="00F54CF4">
        <w:rPr>
          <w:rFonts w:ascii="Arial" w:hAnsi="Arial" w:cs="Arial"/>
          <w:b/>
          <w:sz w:val="20"/>
          <w:szCs w:val="20"/>
        </w:rPr>
        <w:t>Conclusion</w:t>
      </w:r>
      <w:r>
        <w:rPr>
          <w:rFonts w:ascii="Arial" w:hAnsi="Arial" w:cs="Arial"/>
          <w:b/>
          <w:sz w:val="20"/>
          <w:szCs w:val="20"/>
        </w:rPr>
        <w:t>s</w:t>
      </w:r>
    </w:p>
    <w:p w14:paraId="08866BAE" w14:textId="77777777" w:rsidR="00606FFE" w:rsidRDefault="00606FFE" w:rsidP="005F17DA">
      <w:pPr>
        <w:ind w:firstLine="360"/>
        <w:jc w:val="both"/>
        <w:rPr>
          <w:rFonts w:ascii="Times New Roman" w:hAnsi="Times New Roman" w:cs="Times New Roman"/>
          <w:sz w:val="20"/>
          <w:szCs w:val="20"/>
        </w:rPr>
      </w:pPr>
      <w:r w:rsidRPr="00FF1CE5">
        <w:rPr>
          <w:rFonts w:ascii="Times New Roman" w:hAnsi="Times New Roman" w:cs="Times New Roman"/>
          <w:sz w:val="20"/>
          <w:szCs w:val="20"/>
        </w:rPr>
        <w:t>Interfacial interactions are observed among gro</w:t>
      </w:r>
      <w:r>
        <w:rPr>
          <w:rFonts w:ascii="Times New Roman" w:hAnsi="Times New Roman" w:cs="Times New Roman"/>
          <w:sz w:val="20"/>
          <w:szCs w:val="20"/>
        </w:rPr>
        <w:t>wing films around the cylinders for two different types of cylinder arrangements, i.e. vertical in-line and rectangular array. Through simulations, following major finding came out:</w:t>
      </w:r>
    </w:p>
    <w:p w14:paraId="27DDB68C" w14:textId="77777777" w:rsidR="00606FFE" w:rsidRPr="004368AF" w:rsidRDefault="00606FFE" w:rsidP="00606FFE">
      <w:pPr>
        <w:pStyle w:val="ListParagraph"/>
        <w:numPr>
          <w:ilvl w:val="0"/>
          <w:numId w:val="6"/>
        </w:numPr>
        <w:jc w:val="both"/>
        <w:rPr>
          <w:rFonts w:ascii="Times New Roman" w:hAnsi="Times New Roman" w:cs="Times New Roman"/>
          <w:sz w:val="20"/>
          <w:szCs w:val="20"/>
        </w:rPr>
      </w:pPr>
      <w:r w:rsidRPr="004368AF">
        <w:rPr>
          <w:rFonts w:ascii="Times New Roman" w:hAnsi="Times New Roman" w:cs="Times New Roman"/>
          <w:sz w:val="20"/>
          <w:szCs w:val="20"/>
        </w:rPr>
        <w:t>Suppression of film growth is noticed due to presence of neighbouring cylinders.</w:t>
      </w:r>
    </w:p>
    <w:p w14:paraId="7FB0E582" w14:textId="77777777" w:rsidR="00606FFE" w:rsidRDefault="00606FFE" w:rsidP="00606FFE">
      <w:pPr>
        <w:pStyle w:val="ListParagraph"/>
        <w:numPr>
          <w:ilvl w:val="0"/>
          <w:numId w:val="6"/>
        </w:numPr>
        <w:jc w:val="both"/>
        <w:rPr>
          <w:rFonts w:ascii="Times New Roman" w:hAnsi="Times New Roman" w:cs="Times New Roman"/>
          <w:sz w:val="20"/>
          <w:szCs w:val="20"/>
        </w:rPr>
      </w:pPr>
      <w:r w:rsidRPr="004368AF">
        <w:rPr>
          <w:rFonts w:ascii="Times New Roman" w:hAnsi="Times New Roman" w:cs="Times New Roman"/>
          <w:sz w:val="20"/>
          <w:szCs w:val="20"/>
        </w:rPr>
        <w:t>Along with vertical interactions, mutual lateral biasing of vapour growth is observed in stack of rectangular array.</w:t>
      </w:r>
    </w:p>
    <w:p w14:paraId="4061A576" w14:textId="77777777" w:rsidR="00606FFE" w:rsidRDefault="00606FFE" w:rsidP="00606FFE">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Interfacial interaction is a major factor in deciding bubble release rate as well as heat transfer coefficients.</w:t>
      </w:r>
    </w:p>
    <w:p w14:paraId="7D1575CE" w14:textId="77777777"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Findings from present simulations can be used for better design of rod bundles in evaporator stacks and nuclear reactors.</w:t>
      </w:r>
    </w:p>
    <w:p w14:paraId="3B556D27" w14:textId="77777777" w:rsidR="00606FFE" w:rsidRPr="00AD2FAB" w:rsidRDefault="00606FFE" w:rsidP="00606FFE">
      <w:pPr>
        <w:jc w:val="both"/>
        <w:rPr>
          <w:rFonts w:ascii="Arial" w:hAnsi="Arial" w:cs="Arial"/>
          <w:b/>
          <w:sz w:val="20"/>
          <w:szCs w:val="20"/>
        </w:rPr>
      </w:pPr>
      <w:r w:rsidRPr="00AD2FAB">
        <w:rPr>
          <w:rFonts w:ascii="Arial" w:hAnsi="Arial" w:cs="Arial"/>
          <w:b/>
          <w:sz w:val="20"/>
          <w:szCs w:val="20"/>
        </w:rPr>
        <w:t>References</w:t>
      </w:r>
    </w:p>
    <w:p w14:paraId="57493AD2" w14:textId="77777777" w:rsidR="00606FFE" w:rsidRPr="00AD2FAB" w:rsidRDefault="00606FFE" w:rsidP="00606FFE">
      <w:pPr>
        <w:pStyle w:val="ListParagraph"/>
        <w:numPr>
          <w:ilvl w:val="0"/>
          <w:numId w:val="7"/>
        </w:numPr>
        <w:jc w:val="both"/>
        <w:rPr>
          <w:rFonts w:ascii="Times New Roman" w:hAnsi="Times New Roman" w:cs="Times New Roman"/>
          <w:sz w:val="20"/>
          <w:szCs w:val="20"/>
        </w:rPr>
      </w:pPr>
      <w:r w:rsidRPr="00AD2FAB">
        <w:rPr>
          <w:rFonts w:ascii="Times New Roman" w:hAnsi="Times New Roman" w:cs="Times New Roman"/>
          <w:sz w:val="20"/>
          <w:szCs w:val="20"/>
        </w:rPr>
        <w:t xml:space="preserve">Lee, Han Choon, Byung Do Oh, Sung Won Bae, and Moo Hwan Kim. 2003. “Single Bubble Growth in Saturated Pool Boiling on a Constant Wall Temperature Surface.” </w:t>
      </w:r>
      <w:r w:rsidRPr="00AD2FAB">
        <w:rPr>
          <w:rFonts w:ascii="Times New Roman" w:hAnsi="Times New Roman" w:cs="Times New Roman"/>
          <w:i/>
          <w:iCs/>
          <w:sz w:val="20"/>
          <w:szCs w:val="20"/>
        </w:rPr>
        <w:t>International Journal of Multiphase Flow</w:t>
      </w:r>
      <w:r w:rsidRPr="00AD2FAB">
        <w:rPr>
          <w:rFonts w:ascii="Times New Roman" w:hAnsi="Times New Roman" w:cs="Times New Roman"/>
          <w:sz w:val="20"/>
          <w:szCs w:val="20"/>
        </w:rPr>
        <w:t xml:space="preserve"> 29 (12): 1857–74. </w:t>
      </w:r>
      <w:proofErr w:type="gramStart"/>
      <w:r w:rsidRPr="00AD2FAB">
        <w:rPr>
          <w:rFonts w:ascii="Times New Roman" w:hAnsi="Times New Roman" w:cs="Times New Roman"/>
          <w:sz w:val="20"/>
          <w:szCs w:val="20"/>
        </w:rPr>
        <w:t>doi:10.1016/j.ijmultiphaseflow</w:t>
      </w:r>
      <w:proofErr w:type="gramEnd"/>
      <w:r w:rsidRPr="00AD2FAB">
        <w:rPr>
          <w:rFonts w:ascii="Times New Roman" w:hAnsi="Times New Roman" w:cs="Times New Roman"/>
          <w:sz w:val="20"/>
          <w:szCs w:val="20"/>
        </w:rPr>
        <w:t>.2003.09.003.</w:t>
      </w:r>
    </w:p>
    <w:p w14:paraId="2F627956" w14:textId="77777777" w:rsidR="00606FFE" w:rsidRPr="005F17DA" w:rsidRDefault="00606FFE" w:rsidP="007E0259">
      <w:pPr>
        <w:pStyle w:val="ListParagraph"/>
        <w:numPr>
          <w:ilvl w:val="0"/>
          <w:numId w:val="7"/>
        </w:numPr>
        <w:jc w:val="both"/>
        <w:rPr>
          <w:rFonts w:ascii="Times New Roman" w:hAnsi="Times New Roman" w:cs="Times New Roman"/>
          <w:sz w:val="20"/>
          <w:szCs w:val="20"/>
        </w:rPr>
      </w:pPr>
      <w:proofErr w:type="spellStart"/>
      <w:r w:rsidRPr="005F17DA">
        <w:rPr>
          <w:rFonts w:ascii="Times New Roman" w:hAnsi="Times New Roman" w:cs="Times New Roman"/>
          <w:sz w:val="20"/>
          <w:szCs w:val="20"/>
        </w:rPr>
        <w:t>Hetsroni</w:t>
      </w:r>
      <w:proofErr w:type="spellEnd"/>
      <w:r w:rsidRPr="005F17DA">
        <w:rPr>
          <w:rFonts w:ascii="Times New Roman" w:hAnsi="Times New Roman" w:cs="Times New Roman"/>
          <w:sz w:val="20"/>
          <w:szCs w:val="20"/>
        </w:rPr>
        <w:t xml:space="preserve">, G., A. </w:t>
      </w:r>
      <w:proofErr w:type="spellStart"/>
      <w:r w:rsidRPr="005F17DA">
        <w:rPr>
          <w:rFonts w:ascii="Times New Roman" w:hAnsi="Times New Roman" w:cs="Times New Roman"/>
          <w:sz w:val="20"/>
          <w:szCs w:val="20"/>
        </w:rPr>
        <w:t>Mosyak</w:t>
      </w:r>
      <w:proofErr w:type="spellEnd"/>
      <w:r w:rsidRPr="005F17DA">
        <w:rPr>
          <w:rFonts w:ascii="Times New Roman" w:hAnsi="Times New Roman" w:cs="Times New Roman"/>
          <w:sz w:val="20"/>
          <w:szCs w:val="20"/>
        </w:rPr>
        <w:t xml:space="preserve">, E. </w:t>
      </w:r>
      <w:proofErr w:type="spellStart"/>
      <w:r w:rsidRPr="005F17DA">
        <w:rPr>
          <w:rFonts w:ascii="Times New Roman" w:hAnsi="Times New Roman" w:cs="Times New Roman"/>
          <w:sz w:val="20"/>
          <w:szCs w:val="20"/>
        </w:rPr>
        <w:t>Pogrebnyak</w:t>
      </w:r>
      <w:proofErr w:type="spellEnd"/>
      <w:r w:rsidRPr="005F17DA">
        <w:rPr>
          <w:rFonts w:ascii="Times New Roman" w:hAnsi="Times New Roman" w:cs="Times New Roman"/>
          <w:sz w:val="20"/>
          <w:szCs w:val="20"/>
        </w:rPr>
        <w:t xml:space="preserve">, I. Sher, and Z. Segal. 2006. “Bubble Growth in Saturated Pool Boiling in Water and Surfactant Solution.” </w:t>
      </w:r>
      <w:r w:rsidRPr="005F17DA">
        <w:rPr>
          <w:rFonts w:ascii="Times New Roman" w:hAnsi="Times New Roman" w:cs="Times New Roman"/>
          <w:i/>
          <w:iCs/>
          <w:sz w:val="20"/>
          <w:szCs w:val="20"/>
        </w:rPr>
        <w:t>International Journal of Multiphase Flow</w:t>
      </w:r>
      <w:r w:rsidRPr="005F17DA">
        <w:rPr>
          <w:rFonts w:ascii="Times New Roman" w:hAnsi="Times New Roman" w:cs="Times New Roman"/>
          <w:sz w:val="20"/>
          <w:szCs w:val="20"/>
        </w:rPr>
        <w:t xml:space="preserve"> 32 (2): 159–82. </w:t>
      </w:r>
      <w:proofErr w:type="gramStart"/>
      <w:r w:rsidRPr="005F17DA">
        <w:rPr>
          <w:rFonts w:ascii="Times New Roman" w:hAnsi="Times New Roman" w:cs="Times New Roman"/>
          <w:sz w:val="20"/>
          <w:szCs w:val="20"/>
        </w:rPr>
        <w:t>doi:10.1016/j.ijmultiphaseflow</w:t>
      </w:r>
      <w:proofErr w:type="gramEnd"/>
      <w:r w:rsidRPr="005F17DA">
        <w:rPr>
          <w:rFonts w:ascii="Times New Roman" w:hAnsi="Times New Roman" w:cs="Times New Roman"/>
          <w:sz w:val="20"/>
          <w:szCs w:val="20"/>
        </w:rPr>
        <w:t>.2005.10.002.</w:t>
      </w:r>
    </w:p>
    <w:p w14:paraId="6FD5930F" w14:textId="77777777" w:rsidR="00606FFE" w:rsidRPr="00AD2FAB" w:rsidRDefault="00606FFE" w:rsidP="00606FFE">
      <w:pPr>
        <w:pStyle w:val="ListParagraph"/>
        <w:numPr>
          <w:ilvl w:val="0"/>
          <w:numId w:val="7"/>
        </w:numPr>
        <w:jc w:val="both"/>
        <w:rPr>
          <w:rFonts w:ascii="Times New Roman" w:hAnsi="Times New Roman" w:cs="Times New Roman"/>
          <w:sz w:val="20"/>
          <w:szCs w:val="20"/>
        </w:rPr>
      </w:pPr>
      <w:r w:rsidRPr="00AD2FAB">
        <w:rPr>
          <w:rFonts w:ascii="Times New Roman" w:hAnsi="Times New Roman" w:cs="Times New Roman"/>
          <w:sz w:val="20"/>
          <w:szCs w:val="20"/>
        </w:rPr>
        <w:t xml:space="preserve">Maurus, Reinhold, and Thomas </w:t>
      </w:r>
      <w:proofErr w:type="spellStart"/>
      <w:r w:rsidRPr="00AD2FAB">
        <w:rPr>
          <w:rFonts w:ascii="Times New Roman" w:hAnsi="Times New Roman" w:cs="Times New Roman"/>
          <w:sz w:val="20"/>
          <w:szCs w:val="20"/>
        </w:rPr>
        <w:t>Sattelmayer</w:t>
      </w:r>
      <w:proofErr w:type="spellEnd"/>
      <w:r w:rsidRPr="00AD2FAB">
        <w:rPr>
          <w:rFonts w:ascii="Times New Roman" w:hAnsi="Times New Roman" w:cs="Times New Roman"/>
          <w:sz w:val="20"/>
          <w:szCs w:val="20"/>
        </w:rPr>
        <w:t xml:space="preserve">. 2006. “Bubble and Boundary Layer Behaviour in Subcooled Flow Boiling.” </w:t>
      </w:r>
      <w:r w:rsidRPr="00AD2FAB">
        <w:rPr>
          <w:rFonts w:ascii="Times New Roman" w:hAnsi="Times New Roman" w:cs="Times New Roman"/>
          <w:i/>
          <w:iCs/>
          <w:sz w:val="20"/>
          <w:szCs w:val="20"/>
        </w:rPr>
        <w:t>International Journal of Thermal Sciences</w:t>
      </w:r>
      <w:r w:rsidRPr="00AD2FAB">
        <w:rPr>
          <w:rFonts w:ascii="Times New Roman" w:hAnsi="Times New Roman" w:cs="Times New Roman"/>
          <w:sz w:val="20"/>
          <w:szCs w:val="20"/>
        </w:rPr>
        <w:t xml:space="preserve"> 45 (3): 257–68. </w:t>
      </w:r>
      <w:proofErr w:type="gramStart"/>
      <w:r w:rsidRPr="00AD2FAB">
        <w:rPr>
          <w:rFonts w:ascii="Times New Roman" w:hAnsi="Times New Roman" w:cs="Times New Roman"/>
          <w:sz w:val="20"/>
          <w:szCs w:val="20"/>
        </w:rPr>
        <w:t>doi:10.1016/j.ijthermalsci</w:t>
      </w:r>
      <w:proofErr w:type="gramEnd"/>
      <w:r w:rsidRPr="00AD2FAB">
        <w:rPr>
          <w:rFonts w:ascii="Times New Roman" w:hAnsi="Times New Roman" w:cs="Times New Roman"/>
          <w:sz w:val="20"/>
          <w:szCs w:val="20"/>
        </w:rPr>
        <w:t>.2004.05.006.</w:t>
      </w:r>
    </w:p>
    <w:p w14:paraId="6F7796D7" w14:textId="77777777" w:rsidR="00606FFE" w:rsidRPr="00AD2FAB" w:rsidRDefault="00606FFE" w:rsidP="00606FFE">
      <w:pPr>
        <w:pStyle w:val="ListParagraph"/>
        <w:numPr>
          <w:ilvl w:val="0"/>
          <w:numId w:val="7"/>
        </w:numPr>
        <w:jc w:val="both"/>
        <w:rPr>
          <w:rFonts w:ascii="Times New Roman" w:hAnsi="Times New Roman" w:cs="Times New Roman"/>
          <w:sz w:val="20"/>
          <w:szCs w:val="20"/>
        </w:rPr>
      </w:pPr>
      <w:proofErr w:type="spellStart"/>
      <w:r w:rsidRPr="00AD2FAB">
        <w:rPr>
          <w:rFonts w:ascii="Times New Roman" w:hAnsi="Times New Roman" w:cs="Times New Roman"/>
          <w:sz w:val="20"/>
          <w:szCs w:val="20"/>
        </w:rPr>
        <w:t>Albadawi</w:t>
      </w:r>
      <w:proofErr w:type="spellEnd"/>
      <w:r w:rsidRPr="00AD2FAB">
        <w:rPr>
          <w:rFonts w:ascii="Times New Roman" w:hAnsi="Times New Roman" w:cs="Times New Roman"/>
          <w:sz w:val="20"/>
          <w:szCs w:val="20"/>
        </w:rPr>
        <w:t xml:space="preserve">, A., D. B. Donoghue, A. J. Robinson, D. B. Murray, and Y. M C </w:t>
      </w:r>
      <w:proofErr w:type="spellStart"/>
      <w:r w:rsidRPr="00AD2FAB">
        <w:rPr>
          <w:rFonts w:ascii="Times New Roman" w:hAnsi="Times New Roman" w:cs="Times New Roman"/>
          <w:sz w:val="20"/>
          <w:szCs w:val="20"/>
        </w:rPr>
        <w:t>Delaur</w:t>
      </w:r>
      <w:proofErr w:type="spellEnd"/>
      <w:r w:rsidRPr="00AD2FAB">
        <w:rPr>
          <w:rFonts w:ascii="Times New Roman" w:hAnsi="Times New Roman" w:cs="Times New Roman"/>
          <w:sz w:val="20"/>
          <w:szCs w:val="20"/>
        </w:rPr>
        <w:t xml:space="preserve">?? 2013. “On the Analysis of Bubble Growth and Detachment at Low Capillary and Bond Numbers Using Volume of Fluid and Level Set Methods.” </w:t>
      </w:r>
      <w:r w:rsidRPr="00AD2FAB">
        <w:rPr>
          <w:rFonts w:ascii="Times New Roman" w:hAnsi="Times New Roman" w:cs="Times New Roman"/>
          <w:i/>
          <w:iCs/>
          <w:sz w:val="20"/>
          <w:szCs w:val="20"/>
        </w:rPr>
        <w:t>Chemical Engineering Science</w:t>
      </w:r>
      <w:r w:rsidRPr="00AD2FAB">
        <w:rPr>
          <w:rFonts w:ascii="Times New Roman" w:hAnsi="Times New Roman" w:cs="Times New Roman"/>
          <w:sz w:val="20"/>
          <w:szCs w:val="20"/>
        </w:rPr>
        <w:t xml:space="preserve"> 90: 77–91. </w:t>
      </w:r>
      <w:proofErr w:type="gramStart"/>
      <w:r w:rsidRPr="00AD2FAB">
        <w:rPr>
          <w:rFonts w:ascii="Times New Roman" w:hAnsi="Times New Roman" w:cs="Times New Roman"/>
          <w:sz w:val="20"/>
          <w:szCs w:val="20"/>
        </w:rPr>
        <w:t>doi:10.1016/j.ces</w:t>
      </w:r>
      <w:proofErr w:type="gramEnd"/>
      <w:r w:rsidRPr="00AD2FAB">
        <w:rPr>
          <w:rFonts w:ascii="Times New Roman" w:hAnsi="Times New Roman" w:cs="Times New Roman"/>
          <w:sz w:val="20"/>
          <w:szCs w:val="20"/>
        </w:rPr>
        <w:t>.2012.12.004.</w:t>
      </w:r>
    </w:p>
    <w:p w14:paraId="59E2A1A0" w14:textId="77777777" w:rsidR="00606FFE" w:rsidRPr="00AD2FAB" w:rsidRDefault="00606FFE" w:rsidP="00606FFE">
      <w:pPr>
        <w:pStyle w:val="ListParagraph"/>
        <w:numPr>
          <w:ilvl w:val="0"/>
          <w:numId w:val="7"/>
        </w:numPr>
        <w:jc w:val="both"/>
        <w:rPr>
          <w:rFonts w:ascii="Times New Roman" w:hAnsi="Times New Roman" w:cs="Times New Roman"/>
          <w:sz w:val="20"/>
          <w:szCs w:val="20"/>
        </w:rPr>
      </w:pPr>
      <w:r w:rsidRPr="00AD2FAB">
        <w:rPr>
          <w:rFonts w:ascii="Times New Roman" w:hAnsi="Times New Roman" w:cs="Times New Roman"/>
          <w:sz w:val="20"/>
          <w:szCs w:val="20"/>
        </w:rPr>
        <w:t>Nabil, Mahdi, and Alexander S. Rattner. 2016. “</w:t>
      </w:r>
      <w:proofErr w:type="spellStart"/>
      <w:r w:rsidRPr="00AD2FAB">
        <w:rPr>
          <w:rFonts w:ascii="Times New Roman" w:hAnsi="Times New Roman" w:cs="Times New Roman"/>
          <w:sz w:val="20"/>
          <w:szCs w:val="20"/>
        </w:rPr>
        <w:t>interThermalPhaseChangeFoam</w:t>
      </w:r>
      <w:proofErr w:type="spellEnd"/>
      <w:r w:rsidRPr="00AD2FAB">
        <w:rPr>
          <w:rFonts w:ascii="Times New Roman" w:hAnsi="Times New Roman" w:cs="Times New Roman"/>
          <w:sz w:val="20"/>
          <w:szCs w:val="20"/>
        </w:rPr>
        <w:t xml:space="preserve">—A Framework for Two-Phase Flow Simulations with Thermally Driven Phase Change.” </w:t>
      </w:r>
      <w:proofErr w:type="spellStart"/>
      <w:r w:rsidRPr="00AD2FAB">
        <w:rPr>
          <w:rFonts w:ascii="Times New Roman" w:hAnsi="Times New Roman" w:cs="Times New Roman"/>
          <w:i/>
          <w:iCs/>
          <w:sz w:val="20"/>
          <w:szCs w:val="20"/>
        </w:rPr>
        <w:t>SoftwareX</w:t>
      </w:r>
      <w:proofErr w:type="spellEnd"/>
      <w:r w:rsidRPr="00AD2FAB">
        <w:rPr>
          <w:rFonts w:ascii="Times New Roman" w:hAnsi="Times New Roman" w:cs="Times New Roman"/>
          <w:sz w:val="20"/>
          <w:szCs w:val="20"/>
        </w:rPr>
        <w:t xml:space="preserve"> 5. Elsevier B.V.: 216–26. </w:t>
      </w:r>
      <w:proofErr w:type="gramStart"/>
      <w:r w:rsidRPr="00AD2FAB">
        <w:rPr>
          <w:rFonts w:ascii="Times New Roman" w:hAnsi="Times New Roman" w:cs="Times New Roman"/>
          <w:sz w:val="20"/>
          <w:szCs w:val="20"/>
        </w:rPr>
        <w:t>doi:10.1016/j.softx</w:t>
      </w:r>
      <w:proofErr w:type="gramEnd"/>
      <w:r w:rsidRPr="00AD2FAB">
        <w:rPr>
          <w:rFonts w:ascii="Times New Roman" w:hAnsi="Times New Roman" w:cs="Times New Roman"/>
          <w:sz w:val="20"/>
          <w:szCs w:val="20"/>
        </w:rPr>
        <w:t>.2016.10.002.</w:t>
      </w:r>
    </w:p>
    <w:p w14:paraId="665F6A23" w14:textId="77777777" w:rsidR="00606FFE" w:rsidRPr="00102B3F" w:rsidRDefault="00606FFE" w:rsidP="00606FFE">
      <w:pPr>
        <w:pStyle w:val="ListParagraph"/>
        <w:numPr>
          <w:ilvl w:val="0"/>
          <w:numId w:val="7"/>
        </w:numPr>
        <w:jc w:val="both"/>
        <w:rPr>
          <w:rFonts w:ascii="Times New Roman" w:hAnsi="Times New Roman" w:cs="Times New Roman"/>
          <w:sz w:val="20"/>
          <w:szCs w:val="20"/>
        </w:rPr>
      </w:pPr>
      <w:r w:rsidRPr="00102B3F">
        <w:rPr>
          <w:rFonts w:ascii="Times New Roman" w:hAnsi="Times New Roman" w:cs="Times New Roman"/>
          <w:sz w:val="20"/>
          <w:szCs w:val="20"/>
        </w:rPr>
        <w:t xml:space="preserve">Son, </w:t>
      </w:r>
      <w:proofErr w:type="spellStart"/>
      <w:r w:rsidRPr="00102B3F">
        <w:rPr>
          <w:rFonts w:ascii="Times New Roman" w:hAnsi="Times New Roman" w:cs="Times New Roman"/>
          <w:sz w:val="20"/>
          <w:szCs w:val="20"/>
        </w:rPr>
        <w:t>Gihun</w:t>
      </w:r>
      <w:proofErr w:type="spellEnd"/>
      <w:r w:rsidRPr="00102B3F">
        <w:rPr>
          <w:rFonts w:ascii="Times New Roman" w:hAnsi="Times New Roman" w:cs="Times New Roman"/>
          <w:sz w:val="20"/>
          <w:szCs w:val="20"/>
        </w:rPr>
        <w:t xml:space="preserve">, and Vijay K. </w:t>
      </w:r>
      <w:proofErr w:type="spellStart"/>
      <w:r w:rsidRPr="00102B3F">
        <w:rPr>
          <w:rFonts w:ascii="Times New Roman" w:hAnsi="Times New Roman" w:cs="Times New Roman"/>
          <w:sz w:val="20"/>
          <w:szCs w:val="20"/>
        </w:rPr>
        <w:t>Dhir</w:t>
      </w:r>
      <w:proofErr w:type="spellEnd"/>
      <w:r w:rsidRPr="00102B3F">
        <w:rPr>
          <w:rFonts w:ascii="Times New Roman" w:hAnsi="Times New Roman" w:cs="Times New Roman"/>
          <w:sz w:val="20"/>
          <w:szCs w:val="20"/>
        </w:rPr>
        <w:t xml:space="preserve">. 2008. “Numerical Simulation of Nucleate Boiling on a Horizontal Surface at High Heat Fluxes.” </w:t>
      </w:r>
      <w:r w:rsidRPr="00102B3F">
        <w:rPr>
          <w:rFonts w:ascii="Times New Roman" w:hAnsi="Times New Roman" w:cs="Times New Roman"/>
          <w:i/>
          <w:iCs/>
          <w:sz w:val="20"/>
          <w:szCs w:val="20"/>
        </w:rPr>
        <w:t>International Journal of Heat and Mass Transfer</w:t>
      </w:r>
      <w:r w:rsidRPr="00102B3F">
        <w:rPr>
          <w:rFonts w:ascii="Times New Roman" w:hAnsi="Times New Roman" w:cs="Times New Roman"/>
          <w:sz w:val="20"/>
          <w:szCs w:val="20"/>
        </w:rPr>
        <w:t xml:space="preserve"> 51 (9-10): 2566–82. </w:t>
      </w:r>
      <w:proofErr w:type="gramStart"/>
      <w:r w:rsidRPr="00102B3F">
        <w:rPr>
          <w:rFonts w:ascii="Times New Roman" w:hAnsi="Times New Roman" w:cs="Times New Roman"/>
          <w:sz w:val="20"/>
          <w:szCs w:val="20"/>
        </w:rPr>
        <w:t>doi:10.1016/j.ijheatmasstransfer</w:t>
      </w:r>
      <w:proofErr w:type="gramEnd"/>
      <w:r w:rsidRPr="00102B3F">
        <w:rPr>
          <w:rFonts w:ascii="Times New Roman" w:hAnsi="Times New Roman" w:cs="Times New Roman"/>
          <w:sz w:val="20"/>
          <w:szCs w:val="20"/>
        </w:rPr>
        <w:t>.2007.07.046.</w:t>
      </w:r>
    </w:p>
    <w:p w14:paraId="7577B9F2" w14:textId="77777777" w:rsidR="00606FFE" w:rsidRPr="00FF1CE5" w:rsidRDefault="00606FFE" w:rsidP="00606FFE">
      <w:pPr>
        <w:jc w:val="both"/>
        <w:rPr>
          <w:rFonts w:ascii="Times New Roman" w:hAnsi="Times New Roman" w:cs="Times New Roman"/>
          <w:sz w:val="20"/>
          <w:szCs w:val="20"/>
        </w:rPr>
      </w:pPr>
    </w:p>
    <w:p w14:paraId="0D257513" w14:textId="77777777" w:rsidR="00606FFE" w:rsidRPr="00917528"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 </w:t>
      </w:r>
    </w:p>
    <w:p w14:paraId="71090CA0" w14:textId="77777777" w:rsidR="003E15C3" w:rsidRPr="00606FFE" w:rsidRDefault="003E15C3" w:rsidP="00606FFE"/>
    <w:sectPr w:rsidR="003E15C3" w:rsidRPr="00606FFE"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ED68B" w14:textId="77777777" w:rsidR="008038BA" w:rsidRDefault="008038BA" w:rsidP="0027504B">
      <w:pPr>
        <w:spacing w:after="0" w:line="240" w:lineRule="auto"/>
      </w:pPr>
      <w:r>
        <w:separator/>
      </w:r>
    </w:p>
  </w:endnote>
  <w:endnote w:type="continuationSeparator" w:id="0">
    <w:p w14:paraId="029981FE" w14:textId="77777777" w:rsidR="008038BA" w:rsidRDefault="008038BA"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DCEE4" w14:textId="77777777" w:rsidR="008038BA" w:rsidRDefault="008038BA" w:rsidP="0027504B">
      <w:pPr>
        <w:spacing w:after="0" w:line="240" w:lineRule="auto"/>
      </w:pPr>
      <w:r>
        <w:separator/>
      </w:r>
    </w:p>
  </w:footnote>
  <w:footnote w:type="continuationSeparator" w:id="0">
    <w:p w14:paraId="2746CFCE" w14:textId="77777777" w:rsidR="008038BA" w:rsidRDefault="008038BA"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3152B"/>
    <w:rsid w:val="00032DCC"/>
    <w:rsid w:val="00041DB7"/>
    <w:rsid w:val="000444AE"/>
    <w:rsid w:val="000644B1"/>
    <w:rsid w:val="00067571"/>
    <w:rsid w:val="000772F5"/>
    <w:rsid w:val="000C5053"/>
    <w:rsid w:val="000C644A"/>
    <w:rsid w:val="000D1863"/>
    <w:rsid w:val="000E024A"/>
    <w:rsid w:val="000E36A0"/>
    <w:rsid w:val="000F1C41"/>
    <w:rsid w:val="000F2329"/>
    <w:rsid w:val="000F472F"/>
    <w:rsid w:val="00102B3F"/>
    <w:rsid w:val="00104185"/>
    <w:rsid w:val="001105F0"/>
    <w:rsid w:val="00117DF9"/>
    <w:rsid w:val="001674B0"/>
    <w:rsid w:val="0017013C"/>
    <w:rsid w:val="00176C7C"/>
    <w:rsid w:val="00177D50"/>
    <w:rsid w:val="00195486"/>
    <w:rsid w:val="001B24ED"/>
    <w:rsid w:val="001B6E01"/>
    <w:rsid w:val="001C26C7"/>
    <w:rsid w:val="001C437E"/>
    <w:rsid w:val="001D26F8"/>
    <w:rsid w:val="001E24B0"/>
    <w:rsid w:val="002358EE"/>
    <w:rsid w:val="00235A95"/>
    <w:rsid w:val="00250AE7"/>
    <w:rsid w:val="00252E07"/>
    <w:rsid w:val="00263C20"/>
    <w:rsid w:val="0026429E"/>
    <w:rsid w:val="0027504B"/>
    <w:rsid w:val="00277B40"/>
    <w:rsid w:val="00281DF8"/>
    <w:rsid w:val="00290298"/>
    <w:rsid w:val="002A08F3"/>
    <w:rsid w:val="002A21D6"/>
    <w:rsid w:val="002B1244"/>
    <w:rsid w:val="002E3384"/>
    <w:rsid w:val="002E3B71"/>
    <w:rsid w:val="003017F1"/>
    <w:rsid w:val="00313C05"/>
    <w:rsid w:val="00336049"/>
    <w:rsid w:val="0034331E"/>
    <w:rsid w:val="00345F2E"/>
    <w:rsid w:val="0036686B"/>
    <w:rsid w:val="00367D05"/>
    <w:rsid w:val="00381B0E"/>
    <w:rsid w:val="0038282B"/>
    <w:rsid w:val="00393DE7"/>
    <w:rsid w:val="003A4CAF"/>
    <w:rsid w:val="003A5C61"/>
    <w:rsid w:val="003B2E81"/>
    <w:rsid w:val="003D2081"/>
    <w:rsid w:val="003D66BA"/>
    <w:rsid w:val="003E15C3"/>
    <w:rsid w:val="003E6188"/>
    <w:rsid w:val="003F20FD"/>
    <w:rsid w:val="00415CEF"/>
    <w:rsid w:val="004161BB"/>
    <w:rsid w:val="0041672C"/>
    <w:rsid w:val="004368AF"/>
    <w:rsid w:val="00440296"/>
    <w:rsid w:val="00447A76"/>
    <w:rsid w:val="00451635"/>
    <w:rsid w:val="00463C07"/>
    <w:rsid w:val="004652AC"/>
    <w:rsid w:val="00465CC1"/>
    <w:rsid w:val="00487936"/>
    <w:rsid w:val="00487C6F"/>
    <w:rsid w:val="004942E6"/>
    <w:rsid w:val="00494A6D"/>
    <w:rsid w:val="004B588A"/>
    <w:rsid w:val="004D0479"/>
    <w:rsid w:val="004D2D0C"/>
    <w:rsid w:val="00505211"/>
    <w:rsid w:val="005166AD"/>
    <w:rsid w:val="00516BAB"/>
    <w:rsid w:val="00517094"/>
    <w:rsid w:val="005172BC"/>
    <w:rsid w:val="0053789B"/>
    <w:rsid w:val="00567DC3"/>
    <w:rsid w:val="005728E8"/>
    <w:rsid w:val="00591A0A"/>
    <w:rsid w:val="00597959"/>
    <w:rsid w:val="00597A26"/>
    <w:rsid w:val="005A2E3C"/>
    <w:rsid w:val="005B26AC"/>
    <w:rsid w:val="005E03E2"/>
    <w:rsid w:val="005E071E"/>
    <w:rsid w:val="005E6CBD"/>
    <w:rsid w:val="005F17DA"/>
    <w:rsid w:val="005F4DDB"/>
    <w:rsid w:val="00600D22"/>
    <w:rsid w:val="00606519"/>
    <w:rsid w:val="00606FFE"/>
    <w:rsid w:val="00623DBB"/>
    <w:rsid w:val="006247CB"/>
    <w:rsid w:val="00632B0C"/>
    <w:rsid w:val="00651EEE"/>
    <w:rsid w:val="00696058"/>
    <w:rsid w:val="006B2CF9"/>
    <w:rsid w:val="006B4636"/>
    <w:rsid w:val="006B54DC"/>
    <w:rsid w:val="006C3F2C"/>
    <w:rsid w:val="006C7A4A"/>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623B"/>
    <w:rsid w:val="008535DB"/>
    <w:rsid w:val="00862FBE"/>
    <w:rsid w:val="0086618E"/>
    <w:rsid w:val="00870CF7"/>
    <w:rsid w:val="008874BF"/>
    <w:rsid w:val="00892008"/>
    <w:rsid w:val="0089665A"/>
    <w:rsid w:val="008A7151"/>
    <w:rsid w:val="008B0F19"/>
    <w:rsid w:val="008B3414"/>
    <w:rsid w:val="008C0D49"/>
    <w:rsid w:val="008E26F8"/>
    <w:rsid w:val="008E5541"/>
    <w:rsid w:val="00910BD7"/>
    <w:rsid w:val="009116E8"/>
    <w:rsid w:val="00917528"/>
    <w:rsid w:val="0092134D"/>
    <w:rsid w:val="009215CD"/>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62DD"/>
    <w:rsid w:val="00AE0922"/>
    <w:rsid w:val="00B053B5"/>
    <w:rsid w:val="00B15C0F"/>
    <w:rsid w:val="00B40BFE"/>
    <w:rsid w:val="00B4608E"/>
    <w:rsid w:val="00B562C3"/>
    <w:rsid w:val="00B738B1"/>
    <w:rsid w:val="00B75C94"/>
    <w:rsid w:val="00B855B5"/>
    <w:rsid w:val="00B9377F"/>
    <w:rsid w:val="00BA0DD8"/>
    <w:rsid w:val="00BB3788"/>
    <w:rsid w:val="00BC0312"/>
    <w:rsid w:val="00BD0B7A"/>
    <w:rsid w:val="00BE050D"/>
    <w:rsid w:val="00BE0554"/>
    <w:rsid w:val="00BE7436"/>
    <w:rsid w:val="00BF6A36"/>
    <w:rsid w:val="00C17BF1"/>
    <w:rsid w:val="00C20B85"/>
    <w:rsid w:val="00C323A8"/>
    <w:rsid w:val="00C40F0F"/>
    <w:rsid w:val="00C5087B"/>
    <w:rsid w:val="00C52DE7"/>
    <w:rsid w:val="00C55DD0"/>
    <w:rsid w:val="00C7654A"/>
    <w:rsid w:val="00C9311E"/>
    <w:rsid w:val="00CA45D9"/>
    <w:rsid w:val="00CB2426"/>
    <w:rsid w:val="00CD5D09"/>
    <w:rsid w:val="00D12244"/>
    <w:rsid w:val="00D14953"/>
    <w:rsid w:val="00D17A4F"/>
    <w:rsid w:val="00D25E01"/>
    <w:rsid w:val="00D35B7C"/>
    <w:rsid w:val="00D5416F"/>
    <w:rsid w:val="00D7334F"/>
    <w:rsid w:val="00D754DB"/>
    <w:rsid w:val="00D839C6"/>
    <w:rsid w:val="00DB78FE"/>
    <w:rsid w:val="00DC5359"/>
    <w:rsid w:val="00DF127C"/>
    <w:rsid w:val="00E0184A"/>
    <w:rsid w:val="00E02583"/>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20D09"/>
    <w:rsid w:val="00F323F0"/>
    <w:rsid w:val="00F36F31"/>
    <w:rsid w:val="00F37D5A"/>
    <w:rsid w:val="00F528B6"/>
    <w:rsid w:val="00F54CF4"/>
    <w:rsid w:val="00F602BC"/>
    <w:rsid w:val="00F60D92"/>
    <w:rsid w:val="00F72964"/>
    <w:rsid w:val="00F7299B"/>
    <w:rsid w:val="00F81555"/>
    <w:rsid w:val="00F8750C"/>
    <w:rsid w:val="00FA5404"/>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1B24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A5A4-C8AB-4E72-B6C9-EE0F9356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Naman Yadav</cp:lastModifiedBy>
  <cp:revision>5</cp:revision>
  <dcterms:created xsi:type="dcterms:W3CDTF">2019-05-21T06:32:00Z</dcterms:created>
  <dcterms:modified xsi:type="dcterms:W3CDTF">2019-08-14T11:28:00Z</dcterms:modified>
</cp:coreProperties>
</file>