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537" w:type="dxa"/>
        <w:tblLook w:val="04A0" w:firstRow="1" w:lastRow="0" w:firstColumn="1" w:lastColumn="0" w:noHBand="0" w:noVBand="1"/>
      </w:tblPr>
      <w:tblGrid>
        <w:gridCol w:w="2086"/>
        <w:gridCol w:w="2715"/>
        <w:gridCol w:w="2455"/>
        <w:gridCol w:w="2281"/>
      </w:tblGrid>
      <w:tr w:rsidR="0057268B" w:rsidRPr="00BA3BB7" w:rsidTr="0057268B">
        <w:trPr>
          <w:trHeight w:val="3"/>
        </w:trPr>
        <w:tc>
          <w:tcPr>
            <w:tcW w:w="2086" w:type="dxa"/>
            <w:shd w:val="clear" w:color="auto" w:fill="E7E6E6" w:themeFill="background2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Variable Name</w:t>
            </w:r>
          </w:p>
        </w:tc>
        <w:tc>
          <w:tcPr>
            <w:tcW w:w="2715" w:type="dxa"/>
            <w:shd w:val="clear" w:color="auto" w:fill="E7E6E6" w:themeFill="background2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Definition/Note</w:t>
            </w:r>
          </w:p>
        </w:tc>
        <w:tc>
          <w:tcPr>
            <w:tcW w:w="2455" w:type="dxa"/>
            <w:shd w:val="clear" w:color="auto" w:fill="E7E6E6" w:themeFill="background2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Values</w:t>
            </w:r>
          </w:p>
        </w:tc>
        <w:tc>
          <w:tcPr>
            <w:tcW w:w="2281" w:type="dxa"/>
            <w:shd w:val="clear" w:color="auto" w:fill="E7E6E6" w:themeFill="background2"/>
          </w:tcPr>
          <w:p w:rsidR="0057268B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Used for stratified sampling</w:t>
            </w:r>
          </w:p>
        </w:tc>
      </w:tr>
      <w:tr w:rsidR="0057268B" w:rsidRPr="00BA3BB7" w:rsidTr="0057268B">
        <w:trPr>
          <w:trHeight w:val="3"/>
        </w:trPr>
        <w:tc>
          <w:tcPr>
            <w:tcW w:w="2086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Age at </w:t>
            </w:r>
            <w:proofErr w:type="spellStart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PrEP</w:t>
            </w:r>
            <w:proofErr w:type="spellEnd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initiation (</w:t>
            </w:r>
            <w:proofErr w:type="spellStart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yr</w:t>
            </w:r>
            <w:proofErr w:type="spellEnd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71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5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</w:p>
        </w:tc>
        <w:tc>
          <w:tcPr>
            <w:tcW w:w="2281" w:type="dxa"/>
          </w:tcPr>
          <w:p w:rsidR="0057268B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Yes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tertile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for stratification) </w:t>
            </w:r>
          </w:p>
        </w:tc>
      </w:tr>
      <w:tr w:rsidR="0057268B" w:rsidRPr="00BA3BB7" w:rsidTr="0057268B">
        <w:trPr>
          <w:trHeight w:val="13"/>
        </w:trPr>
        <w:tc>
          <w:tcPr>
            <w:tcW w:w="2086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Primary payer type</w:t>
            </w:r>
          </w:p>
        </w:tc>
        <w:tc>
          <w:tcPr>
            <w:tcW w:w="271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hAnsi="Times New Roman" w:cs="Times New Roman"/>
                <w:sz w:val="24"/>
                <w:szCs w:val="24"/>
              </w:rPr>
              <w:t>Source of payment used most frequently in the 2-year tracking period. If two sources of payments were received, the commercial or government (including VA/Tricare) insurance coverage will be prioritized over other copay assistance.</w:t>
            </w:r>
          </w:p>
        </w:tc>
        <w:tc>
          <w:tcPr>
            <w:tcW w:w="2455" w:type="dxa"/>
          </w:tcPr>
          <w:p w:rsidR="0057268B" w:rsidRPr="00BA3BB7" w:rsidRDefault="0057268B" w:rsidP="0057268B">
            <w:pPr>
              <w:pStyle w:val="ListParagraph"/>
              <w:numPr>
                <w:ilvl w:val="0"/>
                <w:numId w:val="3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Commercial </w:t>
            </w:r>
          </w:p>
          <w:p w:rsidR="0057268B" w:rsidRPr="00BA3BB7" w:rsidRDefault="0057268B" w:rsidP="0057268B">
            <w:pPr>
              <w:pStyle w:val="ListParagraph"/>
              <w:numPr>
                <w:ilvl w:val="0"/>
                <w:numId w:val="3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Government (Medicaid, Medicare)</w:t>
            </w:r>
          </w:p>
          <w:p w:rsidR="0057268B" w:rsidRPr="00BA3BB7" w:rsidRDefault="0057268B" w:rsidP="0057268B">
            <w:pPr>
              <w:pStyle w:val="ListParagraph"/>
              <w:numPr>
                <w:ilvl w:val="0"/>
                <w:numId w:val="3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Tricare/Veteran administration</w:t>
            </w:r>
          </w:p>
          <w:p w:rsidR="0057268B" w:rsidRPr="00BA3BB7" w:rsidRDefault="0057268B" w:rsidP="0057268B">
            <w:pPr>
              <w:pStyle w:val="ListParagraph"/>
              <w:numPr>
                <w:ilvl w:val="0"/>
                <w:numId w:val="3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Others</w:t>
            </w:r>
          </w:p>
        </w:tc>
        <w:tc>
          <w:tcPr>
            <w:tcW w:w="2281" w:type="dxa"/>
          </w:tcPr>
          <w:p w:rsidR="0057268B" w:rsidRPr="00DD4234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Yes (three-level for stratification: commercial, government (Medicaid, Medicare, Tricare/VA), others/cash)</w:t>
            </w:r>
          </w:p>
        </w:tc>
      </w:tr>
      <w:tr w:rsidR="0057268B" w:rsidRPr="00BA3BB7" w:rsidTr="0057268B">
        <w:trPr>
          <w:trHeight w:val="4"/>
        </w:trPr>
        <w:tc>
          <w:tcPr>
            <w:tcW w:w="2086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Average copay per month (USD)</w:t>
            </w:r>
          </w:p>
        </w:tc>
        <w:tc>
          <w:tcPr>
            <w:tcW w:w="271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hAnsi="Times New Roman" w:cs="Times New Roman"/>
                <w:sz w:val="24"/>
                <w:szCs w:val="24"/>
              </w:rPr>
              <w:t xml:space="preserve">Average out-of-pocket payment per month over the duration </w:t>
            </w:r>
            <w:proofErr w:type="spellStart"/>
            <w:r w:rsidRPr="00BA3BB7">
              <w:rPr>
                <w:rFonts w:ascii="Times New Roman" w:hAnsi="Times New Roman" w:cs="Times New Roman"/>
                <w:sz w:val="24"/>
                <w:szCs w:val="24"/>
              </w:rPr>
              <w:t>PrEP</w:t>
            </w:r>
            <w:proofErr w:type="spellEnd"/>
            <w:r w:rsidRPr="00BA3BB7">
              <w:rPr>
                <w:rFonts w:ascii="Times New Roman" w:hAnsi="Times New Roman" w:cs="Times New Roman"/>
                <w:sz w:val="24"/>
                <w:szCs w:val="24"/>
              </w:rPr>
              <w:t xml:space="preserve"> medication was filled</w:t>
            </w:r>
          </w:p>
        </w:tc>
        <w:tc>
          <w:tcPr>
            <w:tcW w:w="245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</w:p>
        </w:tc>
        <w:tc>
          <w:tcPr>
            <w:tcW w:w="2281" w:type="dxa"/>
          </w:tcPr>
          <w:p w:rsidR="0057268B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Yes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tertile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for stratification)</w:t>
            </w:r>
          </w:p>
        </w:tc>
      </w:tr>
      <w:tr w:rsidR="0057268B" w:rsidRPr="00BA3BB7" w:rsidTr="0057268B">
        <w:trPr>
          <w:trHeight w:val="5"/>
        </w:trPr>
        <w:tc>
          <w:tcPr>
            <w:tcW w:w="2086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Pharmacy type</w:t>
            </w:r>
          </w:p>
        </w:tc>
        <w:tc>
          <w:tcPr>
            <w:tcW w:w="271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Type of pharmacy mostly frequently used in the 2-year tracking period.</w:t>
            </w:r>
          </w:p>
        </w:tc>
        <w:tc>
          <w:tcPr>
            <w:tcW w:w="2455" w:type="dxa"/>
          </w:tcPr>
          <w:p w:rsidR="0057268B" w:rsidRPr="00BA3BB7" w:rsidRDefault="0057268B" w:rsidP="0057268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Community-based specialty pharmacy</w:t>
            </w:r>
          </w:p>
          <w:p w:rsidR="0057268B" w:rsidRPr="00BA3BB7" w:rsidRDefault="0057268B" w:rsidP="0057268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Traditional retail pharmacy</w:t>
            </w:r>
          </w:p>
        </w:tc>
        <w:tc>
          <w:tcPr>
            <w:tcW w:w="2281" w:type="dxa"/>
          </w:tcPr>
          <w:p w:rsidR="0057268B" w:rsidRPr="00AE7C4E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Yes (binary for stratification)</w:t>
            </w:r>
          </w:p>
        </w:tc>
      </w:tr>
      <w:tr w:rsidR="0057268B" w:rsidRPr="00BA3BB7" w:rsidTr="0057268B">
        <w:trPr>
          <w:trHeight w:val="5"/>
        </w:trPr>
        <w:tc>
          <w:tcPr>
            <w:tcW w:w="2086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PrEP</w:t>
            </w:r>
            <w:proofErr w:type="spellEnd"/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provider type</w:t>
            </w:r>
          </w:p>
        </w:tc>
        <w:tc>
          <w:tcPr>
            <w:tcW w:w="2715" w:type="dxa"/>
          </w:tcPr>
          <w:p w:rsidR="0057268B" w:rsidRPr="00BA3BB7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Type of providers from whom a study subject received most of their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prescriptions</w:t>
            </w:r>
          </w:p>
        </w:tc>
        <w:tc>
          <w:tcPr>
            <w:tcW w:w="2455" w:type="dxa"/>
          </w:tcPr>
          <w:p w:rsidR="0057268B" w:rsidRPr="00BA3BB7" w:rsidRDefault="0057268B" w:rsidP="0057268B">
            <w:pPr>
              <w:pStyle w:val="ListParagraph"/>
              <w:numPr>
                <w:ilvl w:val="0"/>
                <w:numId w:val="2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Medical doctors</w:t>
            </w:r>
          </w:p>
          <w:p w:rsidR="0057268B" w:rsidRPr="00BA3BB7" w:rsidRDefault="0057268B" w:rsidP="0057268B">
            <w:pPr>
              <w:pStyle w:val="ListParagraph"/>
              <w:numPr>
                <w:ilvl w:val="0"/>
                <w:numId w:val="2"/>
              </w:num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A3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Physician assistants/nursing practitioner</w:t>
            </w:r>
          </w:p>
        </w:tc>
        <w:tc>
          <w:tcPr>
            <w:tcW w:w="2281" w:type="dxa"/>
          </w:tcPr>
          <w:p w:rsidR="0057268B" w:rsidRPr="00DD4234" w:rsidRDefault="0057268B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No</w:t>
            </w:r>
          </w:p>
        </w:tc>
      </w:tr>
    </w:tbl>
    <w:p w:rsidR="00E30BAE" w:rsidRDefault="00B80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083"/>
        <w:gridCol w:w="1620"/>
        <w:gridCol w:w="4675"/>
      </w:tblGrid>
      <w:tr w:rsidR="005B4DF0" w:rsidRPr="00781E74" w:rsidTr="00E87493">
        <w:tc>
          <w:tcPr>
            <w:tcW w:w="9350" w:type="dxa"/>
            <w:gridSpan w:val="4"/>
            <w:shd w:val="clear" w:color="auto" w:fill="000000" w:themeFill="text1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bdr w:val="none" w:sz="0" w:space="0" w:color="auto" w:frame="1"/>
              </w:rPr>
              <w:t xml:space="preserve">ZIP-3-level characteristics. Source: US Census </w:t>
            </w:r>
          </w:p>
        </w:tc>
      </w:tr>
      <w:tr w:rsidR="005B4DF0" w:rsidRPr="00781E74" w:rsidTr="00EC74D1">
        <w:tc>
          <w:tcPr>
            <w:tcW w:w="1972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Concentrations of black populations</w:t>
            </w:r>
          </w:p>
        </w:tc>
        <w:tc>
          <w:tcPr>
            <w:tcW w:w="1083" w:type="dxa"/>
            <w:vMerge w:val="restart"/>
            <w:vAlign w:val="center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Unit: per 100,000 people</w:t>
            </w:r>
          </w:p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</w:p>
        </w:tc>
        <w:tc>
          <w:tcPr>
            <w:tcW w:w="4675" w:type="dxa"/>
          </w:tcPr>
          <w:p w:rsidR="005B4DF0" w:rsidRDefault="00087563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2013-2017 ACS</w:t>
            </w:r>
          </w:p>
          <w:p w:rsidR="007358B6" w:rsidRDefault="007358B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35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group\Data\Census data\Raw data\by zip 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\race_byzip3.sas</w:t>
            </w:r>
          </w:p>
          <w:p w:rsidR="00EC74D1" w:rsidRPr="00781E74" w:rsidRDefault="00EC74D1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B4DF0" w:rsidRPr="00781E74" w:rsidTr="00EC74D1">
        <w:tc>
          <w:tcPr>
            <w:tcW w:w="1972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Concentration of Latinx/Hispanic population</w:t>
            </w:r>
          </w:p>
        </w:tc>
        <w:tc>
          <w:tcPr>
            <w:tcW w:w="1083" w:type="dxa"/>
            <w:vMerge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</w:p>
        </w:tc>
        <w:tc>
          <w:tcPr>
            <w:tcW w:w="4675" w:type="dxa"/>
          </w:tcPr>
          <w:p w:rsidR="005B4DF0" w:rsidRDefault="00B64A9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2013-2017 ACS</w:t>
            </w:r>
          </w:p>
          <w:p w:rsidR="007358B6" w:rsidRDefault="007358B6" w:rsidP="007358B6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35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group\Data\Census data\Raw data\by zip 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\race_byzip3.sas</w:t>
            </w:r>
          </w:p>
          <w:p w:rsidR="007358B6" w:rsidRPr="00781E74" w:rsidRDefault="007358B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B4DF0" w:rsidRPr="00781E74" w:rsidTr="00EC74D1">
        <w:tc>
          <w:tcPr>
            <w:tcW w:w="1972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hAnsi="Times New Roman" w:cs="Times New Roman"/>
                <w:sz w:val="24"/>
                <w:szCs w:val="24"/>
              </w:rPr>
              <w:t>Concentrations of residents under poverty threshold</w:t>
            </w:r>
          </w:p>
        </w:tc>
        <w:tc>
          <w:tcPr>
            <w:tcW w:w="1083" w:type="dxa"/>
            <w:vMerge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</w:p>
        </w:tc>
        <w:tc>
          <w:tcPr>
            <w:tcW w:w="4675" w:type="dxa"/>
          </w:tcPr>
          <w:p w:rsidR="005B4DF0" w:rsidRDefault="00B64A9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2013-2017 ACS</w:t>
            </w:r>
          </w:p>
          <w:p w:rsidR="007358B6" w:rsidRDefault="007358B6" w:rsidP="007358B6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35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group\Data\Census data\Raw data\by zip 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\</w:t>
            </w:r>
            <w:r w:rsidR="00F14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pov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_byzip3.sas</w:t>
            </w:r>
          </w:p>
          <w:p w:rsidR="007358B6" w:rsidRPr="00781E74" w:rsidRDefault="007358B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B4DF0" w:rsidRPr="00781E74" w:rsidTr="00EC74D1">
        <w:tc>
          <w:tcPr>
            <w:tcW w:w="1972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hAnsi="Times New Roman" w:cs="Times New Roman"/>
                <w:sz w:val="24"/>
                <w:szCs w:val="24"/>
              </w:rPr>
              <w:t>Concentrations of residents uninsured</w:t>
            </w:r>
          </w:p>
        </w:tc>
        <w:tc>
          <w:tcPr>
            <w:tcW w:w="1083" w:type="dxa"/>
            <w:vMerge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bookmarkStart w:id="0" w:name="_GoBack"/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Continuous</w:t>
            </w:r>
            <w:bookmarkEnd w:id="0"/>
          </w:p>
        </w:tc>
        <w:tc>
          <w:tcPr>
            <w:tcW w:w="4675" w:type="dxa"/>
          </w:tcPr>
          <w:p w:rsidR="005B4DF0" w:rsidRDefault="00B64A96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2013-2017 ACS</w:t>
            </w:r>
          </w:p>
          <w:p w:rsidR="00F149A3" w:rsidRPr="00781E74" w:rsidRDefault="00F149A3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35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group\Data\Census data\Raw data\by zip 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\</w:t>
            </w:r>
            <w:r w:rsidR="0040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insur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_byzip3.sas</w:t>
            </w:r>
          </w:p>
        </w:tc>
      </w:tr>
      <w:tr w:rsidR="005B4DF0" w:rsidRPr="00781E74" w:rsidTr="00EC74D1">
        <w:tc>
          <w:tcPr>
            <w:tcW w:w="1972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Density of </w:t>
            </w:r>
            <w:proofErr w:type="spellStart"/>
            <w:r w:rsidRPr="00781E74">
              <w:rPr>
                <w:rFonts w:ascii="Times New Roman" w:hAnsi="Times New Roman" w:cs="Times New Roman"/>
                <w:sz w:val="24"/>
                <w:szCs w:val="24"/>
              </w:rPr>
              <w:t>PrEP</w:t>
            </w:r>
            <w:proofErr w:type="spellEnd"/>
            <w:r w:rsidRPr="00781E74">
              <w:rPr>
                <w:rFonts w:ascii="Times New Roman" w:hAnsi="Times New Roman" w:cs="Times New Roman"/>
                <w:sz w:val="24"/>
                <w:szCs w:val="24"/>
              </w:rPr>
              <w:t xml:space="preserve"> provider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&lt;EndNote&gt;&lt;Cite&gt;&lt;Author&gt;Siegler&lt;/Author&gt;&lt;Year&gt;2017&lt;/Year&gt;&lt;RecNum&gt;181&lt;/RecNum&gt;&lt;DisplayText&gt;[24]&lt;/DisplayText&gt;&lt;record&gt;&lt;rec-number&gt;181&lt;/rec-number&gt;&lt;foreign-keys&gt;&lt;key app="EN" db-id="2z20p255m0ts2me55p6p5avhrart0vteep20" timestamp="1643116198"&gt;181&lt;/key&gt;&lt;/foreign-keys&gt;&lt;ref-type name="Journal Article"&gt;17&lt;/ref-type&gt;&lt;contributors&gt;&lt;authors&gt;&lt;author&gt;Siegler, A. J.&lt;/author&gt;&lt;author&gt;Wirtz, S.&lt;/author&gt;&lt;author&gt;Weber, S.&lt;/author&gt;&lt;author&gt;Sullivan, P. S.&lt;/author&gt;&lt;/authors&gt;&lt;/contributors&gt;&lt;auth-address&gt;Department of Epidemiology, Rollins School of Public Health, Emory University, Atlanta, GA, United States.&amp;#xD;University of California, San Francisco, San Francisco, CA, United States.&lt;/auth-address&gt;&lt;titles&gt;&lt;title&gt;Developing a Web-Based Geolocated Directory of HIV Pre-Exposure Prophylaxis-Providing Clinics: The PrEP Locator Protocol and Operating Procedures&lt;/title&gt;&lt;secondary-title&gt;JMIR Public Health Surveill&lt;/secondary-title&gt;&lt;/titles&gt;&lt;periodical&gt;&lt;full-title&gt;JMIR Public Health Surveill&lt;/full-title&gt;&lt;/periodical&gt;&lt;pages&gt;e58&lt;/pages&gt;&lt;volume&gt;3&lt;/volume&gt;&lt;number&gt;3&lt;/number&gt;&lt;edition&gt;2017/09/08&lt;/edition&gt;&lt;keywords&gt;&lt;keyword&gt;HIV prevention, service directory, geolocated database, PrEP&lt;/keyword&gt;&lt;/keywords&gt;&lt;dates&gt;&lt;year&gt;2017&lt;/year&gt;&lt;pub-dates&gt;&lt;date&gt;Sep 6&lt;/date&gt;&lt;/pub-dates&gt;&lt;/dates&gt;&lt;isbn&gt;2369-2960 (Print)&amp;#xD;2369-2960&lt;/isbn&gt;&lt;accession-num&gt;28877865&lt;/accession-num&gt;&lt;urls&gt;&lt;/urls&gt;&lt;custom2&gt;PMC5607436&lt;/custom2&gt;&lt;electronic-resource-num&gt;10.2196/publichealth.7902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3" w:type="dxa"/>
            <w:vMerge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:rsidR="005B4DF0" w:rsidRPr="00781E74" w:rsidRDefault="005B4DF0" w:rsidP="00E87493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81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Continuous </w:t>
            </w:r>
          </w:p>
        </w:tc>
        <w:tc>
          <w:tcPr>
            <w:tcW w:w="4675" w:type="dxa"/>
          </w:tcPr>
          <w:p w:rsidR="00406BCB" w:rsidRPr="00406BCB" w:rsidRDefault="00406BCB" w:rsidP="00406BCB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6BC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Number of </w:t>
            </w:r>
            <w:proofErr w:type="spellStart"/>
            <w:r w:rsidRPr="00406BC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PrEP</w:t>
            </w:r>
            <w:proofErr w:type="spellEnd"/>
            <w:r w:rsidRPr="00406BC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clinic:</w:t>
            </w:r>
          </w:p>
          <w:p w:rsidR="005B4DF0" w:rsidRDefault="00B64A96" w:rsidP="00E87493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433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National Prevention Information Network (NPIN) </w:t>
            </w:r>
            <w:proofErr w:type="spellStart"/>
            <w:r w:rsidRPr="0084338B">
              <w:rPr>
                <w:rFonts w:ascii="Times New Roman" w:hAnsi="Times New Roman" w:cs="Times New Roman"/>
                <w:iCs/>
                <w:sz w:val="24"/>
                <w:szCs w:val="24"/>
              </w:rPr>
              <w:t>PrEP</w:t>
            </w:r>
            <w:proofErr w:type="spellEnd"/>
            <w:r w:rsidRPr="0084338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locator</w:t>
            </w:r>
          </w:p>
          <w:p w:rsidR="00EC74D1" w:rsidRDefault="00EC74D1" w:rsidP="00E87493">
            <w:pPr>
              <w:tabs>
                <w:tab w:val="center" w:pos="468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EC7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</w:t>
            </w:r>
            <w:proofErr w:type="spellStart"/>
            <w:r w:rsidRPr="00EC7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PrEP</w:t>
            </w:r>
            <w:proofErr w:type="spellEnd"/>
            <w:r w:rsidRPr="00EC7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Clinics by state_zip3</w:t>
            </w:r>
          </w:p>
          <w:p w:rsidR="00406BCB" w:rsidRPr="00406BCB" w:rsidRDefault="00406BCB" w:rsidP="00406BCB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406BC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ZIP3 population: </w:t>
            </w:r>
            <w:r w:rsidR="003305A5" w:rsidRPr="00B8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T:\epiprojs\PrEP analysis group\Data\Census data\Merged\by zip3</w:t>
            </w:r>
            <w:r w:rsidR="00B8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\zip3total_pop.sas</w:t>
            </w:r>
          </w:p>
          <w:p w:rsidR="00406BCB" w:rsidRPr="00781E74" w:rsidRDefault="00406BCB" w:rsidP="00406BCB">
            <w:pPr>
              <w:tabs>
                <w:tab w:val="center" w:pos="468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5B4DF0" w:rsidRDefault="005B4DF0"/>
    <w:sectPr w:rsidR="005B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6D5F"/>
    <w:multiLevelType w:val="hybridMultilevel"/>
    <w:tmpl w:val="0E7042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0150EA"/>
    <w:multiLevelType w:val="hybridMultilevel"/>
    <w:tmpl w:val="A83EF7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AF7D56"/>
    <w:multiLevelType w:val="hybridMultilevel"/>
    <w:tmpl w:val="76AE7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B"/>
    <w:rsid w:val="00087563"/>
    <w:rsid w:val="00206B8B"/>
    <w:rsid w:val="00223C82"/>
    <w:rsid w:val="003305A5"/>
    <w:rsid w:val="00406BCB"/>
    <w:rsid w:val="0057268B"/>
    <w:rsid w:val="005B4DF0"/>
    <w:rsid w:val="00706B82"/>
    <w:rsid w:val="007358B6"/>
    <w:rsid w:val="00B64A96"/>
    <w:rsid w:val="00B801F1"/>
    <w:rsid w:val="00EC74D1"/>
    <w:rsid w:val="00F149A3"/>
    <w:rsid w:val="00F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696F"/>
  <w15:chartTrackingRefBased/>
  <w15:docId w15:val="{286F6245-D57B-46C0-878C-052A3468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268B"/>
    <w:pPr>
      <w:ind w:left="720"/>
      <w:contextualSpacing/>
    </w:pPr>
  </w:style>
  <w:style w:type="table" w:styleId="TableGrid">
    <w:name w:val="Table Grid"/>
    <w:basedOn w:val="TableNormal"/>
    <w:uiPriority w:val="39"/>
    <w:rsid w:val="005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7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Yi-No</dc:creator>
  <cp:keywords/>
  <dc:description/>
  <cp:lastModifiedBy>Chen, Yi-No</cp:lastModifiedBy>
  <cp:revision>1</cp:revision>
  <dcterms:created xsi:type="dcterms:W3CDTF">2023-03-07T16:21:00Z</dcterms:created>
  <dcterms:modified xsi:type="dcterms:W3CDTF">2023-03-07T21:46:00Z</dcterms:modified>
</cp:coreProperties>
</file>