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微软雅黑"/>
          <w:b/>
          <w:sz w:val="28"/>
        </w:rPr>
        <w:t>A Posterior-Predictive Bayesian Surrogate for Coupled Neutronic–Thermal–Structural Analysis in Heat-Pipe-Cooled Reactors</w:t>
      </w:r>
    </w:p>
    <w:p>
      <w:pPr>
        <w:jc w:val="center"/>
      </w:pPr>
      <w:r>
        <w:rPr>
          <w:rFonts w:ascii="Times New Roman" w:hAnsi="Times New Roman" w:eastAsia="微软雅黑"/>
          <w:b/>
          <w:sz w:val="26"/>
        </w:rPr>
        <w:t>面向热管冷却反应堆耦合中子–热–力分析的后验预测贝叶斯代理</w:t>
      </w:r>
    </w:p>
    <w:p>
      <w:pPr>
        <w:jc w:val="center"/>
      </w:pPr>
      <w:r>
        <w:rPr>
          <w:rFonts w:ascii="Times New Roman" w:hAnsi="Times New Roman" w:eastAsia="微软雅黑"/>
          <w:color w:val="999999"/>
          <w:sz w:val="18"/>
        </w:rPr>
        <w:t>Draft v4 (Round-6A prose surgery)  |  Generated 2026-04-17 09:11</w:t>
      </w:r>
    </w:p>
    <w:p/>
    <w:p>
      <w:pPr>
        <w:pStyle w:val="Heading1"/>
      </w:pPr>
      <w:r>
        <w:t>作者 / Authors</w:t>
      </w:r>
    </w:p>
    <w:p>
      <w:r>
        <w:rPr>
          <w:rFonts w:ascii="Times New Roman" w:hAnsi="Times New Roman" w:eastAsia="微软雅黑"/>
        </w:rPr>
        <w:t>Yinuo Chen¹ᵃ˒ᵇ, Sicheng Wang²ᵇ˒ᶜ, Xiaojing Liu³ᵃ˒ᵇ and Tengfei Zhang⁴ᵃ˒ᵇ˒*</w:t>
      </w:r>
    </w:p>
    <w:p>
      <w:r>
        <w:rPr>
          <w:rFonts w:ascii="Times New Roman" w:hAnsi="Times New Roman" w:eastAsia="微软雅黑"/>
        </w:rPr>
        <w:t>a  School of Nuclear Science and Engineering, Shanghai Jiao Tong University, Shanghai, 200240, China b  Shanghai Digital Nuclear Reactor Technology Integration Innovation Center, Shanghai, 200240, China c  College of Smart Energy, Shanghai Jiao Tong University, Shanghai, 200240, China</w:t>
      </w:r>
    </w:p>
    <w:p>
      <w:r>
        <w:rPr>
          <w:rFonts w:ascii="Times New Roman" w:hAnsi="Times New Roman" w:eastAsia="微软雅黑"/>
        </w:rPr>
        <w:t>*  Corresponding author: zhangtengfei@sjtu.edu.cn</w:t>
      </w:r>
    </w:p>
    <w:p>
      <w:pPr>
        <w:pStyle w:val="Heading1"/>
      </w:pPr>
      <w:r>
        <w:t>摘要 / Abstract</w:t>
      </w:r>
    </w:p>
    <w:p>
      <w:r>
        <w:rPr>
          <w:rFonts w:ascii="Times New Roman" w:hAnsi="Times New Roman" w:eastAsia="微软雅黑"/>
        </w:rPr>
        <w:t>Compact reactor designs couple neutronics, heat transfer and structural mechanics through two-way feedback, so material-parameter uncertainty propagates simultaneously across the three channels rather than within any single physics. Forward uncertainty propagation, global sensitivity attribution and observation-conditioned calibration are all natural analyses to ask of such a system, but each is intractable directly on the coupled solver. We train a Bayesian neural network (BNN) surrogate on coupled OpenMC–FEniCS data of a heat-pipe-cooled reactor and use its posterior predictive distribution as the single probabilistic object on which all three downstream analyses operate, without retraining or recalibration between them. Two-way coupling actively reshapes the parameter-driven stress distribution, reducing its standard deviation by ≈ 28% relative to a decoupled prediction; stress and reactivity are governed by largely separate dominant parameters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respectively); and across 18 benchmark calibrations the inferred parameter distribution contracts toward observation-compatible regions with 90%-CI coverage </w:t>
      </w:r>
      <w:r>
        <w:rPr>
          <w:rFonts w:ascii="Times New Roman" w:hAnsi="Times New Roman" w:eastAsia="微软雅黑"/>
          <w:b/>
          <w:color w:val="CC0000"/>
        </w:rPr>
        <w:t>【x】</w:t>
      </w:r>
      <w:r>
        <w:rPr>
          <w:rFonts w:ascii="Times New Roman" w:hAnsi="Times New Roman" w:eastAsia="微软雅黑"/>
        </w:rPr>
        <w:t>. With each posterior predictive draw costing ≈ 1.76 × 10⁵× less than a coupled high-fidelity case (2266 s on AMD EPYC 9654), the full uncertainty workflow for the coupled system runs end-to-end at surrogate cost on a single workstation.</w:t>
      </w:r>
    </w:p>
    <w:p>
      <w:r>
        <w:rPr>
          <w:rFonts w:ascii="Times New Roman" w:hAnsi="Times New Roman" w:eastAsia="微软雅黑"/>
        </w:rPr>
        <w:t xml:space="preserve">紧凑型反应堆将中子学、传热与结构力学通过双向反馈紧密耦合，材料参数不确定性因此在三类物理之间同时传播，而非局限于任一单一物理。前向不确定性传播、全局敏感性归因与观测条件下的后验标定都是此类系统自然要问的分析，但任何一项都难以直接在耦合求解器上完成。本文以热管冷却反应堆为对象，在耦合 OpenMC–FEniCS 数据上训练贝叶斯神经网络（BNN）代理，并以其后验预测分布作为下游三类分析所共用的概率对象，三者无需各自重训或重新校准。双向耦合主动重塑了由参数驱动的应力分布，使其标准差相对解耦预测降低约 28%；应力与反应性由基本分离的主控参数支配（分别为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与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）；在 18 例基准案例上，所推断的参数分布收敛至与观测相容的区域，90%-CI 覆盖率为 </w:t>
      </w:r>
      <w:r>
        <w:rPr>
          <w:rFonts w:ascii="Times New Roman" w:hAnsi="Times New Roman" w:eastAsia="微软雅黑"/>
          <w:b/>
          <w:color w:val="CC0000"/>
        </w:rPr>
        <w:t>【x】</w:t>
      </w:r>
      <w:r>
        <w:rPr>
          <w:rFonts w:ascii="Times New Roman" w:hAnsi="Times New Roman" w:eastAsia="微软雅黑"/>
        </w:rPr>
        <w:t>。每次后验预测抽样的代价较耦合高保真单案例（AMD EPYC 9654 上 2266 s）减小约 1.76 × 10⁵ 倍，完整的耦合系统不确定性工作流可在单台工作站上以代理代价端到端运行。</w:t>
      </w:r>
    </w:p>
    <w:p>
      <w:pPr>
        <w:pStyle w:val="Heading1"/>
      </w:pPr>
      <w:r>
        <w:t>1. 引言 / Introduction</w:t>
      </w:r>
    </w:p>
    <w:p>
      <w:r>
        <w:rPr>
          <w:rFonts w:ascii="Times New Roman" w:hAnsi="Times New Roman" w:eastAsia="微软雅黑"/>
        </w:rPr>
        <w:t>In compact heat-pipe-cooled reactors, peak stress, peak temperature and reactivity emerge from two-way coupling among neutronics, heat transfer and structural mechanics [1,2]. Because material-parameter uncertainty propagates through the same coupling loop, a single uncertain parameter can shift the neutronic balance, the thermal field and the stress state simultaneously. Closed-loop feedback may amplify or damp the resulting variability, so decoupled single-physics uncertainty analyses are insufficient; a coupled probabilistic treatment is needed.</w:t>
      </w:r>
    </w:p>
    <w:p>
      <w:r>
        <w:rPr>
          <w:rFonts w:ascii="Times New Roman" w:hAnsi="Times New Roman" w:eastAsia="微软雅黑"/>
        </w:rPr>
        <w:t>紧凑型热管冷却反应堆中，峰值应力、峰值温度与反应性产生于中子学、传热与结构力学之间的双向耦合 [1,2]。材料参数不确定性沿同一耦合回路传播，单个不确定参数可同时作用于中子平衡、温度场与应力状态。闭合反馈可放大或衰减所导致的变异，因此解耦的单物理不确定性分析不足以反映真实行为，须以耦合概率方式处理。</w:t>
      </w:r>
    </w:p>
    <w:p>
      <w:r>
        <w:rPr>
          <w:rFonts w:ascii="Times New Roman" w:hAnsi="Times New Roman" w:eastAsia="微软雅黑"/>
        </w:rPr>
        <w:t>High-fidelity coupled simulations of such systems have advanced rapidly. MOOSE-based toolchains now handle coupled neutronics–thermo-mechanics– heat-pipe analysis for KRUSTY-class and larger designs [2,3]. Independent thermal–structural studies confirm that stress concentration is a persistent safety concern in monolithic-core configurations [4,5]. Stochastic analysis and surrogate-assisted probabilistic modules have appeared within the MOOSE ecosystem [6,7] and in digital-twin pipelines [8]. These efforts, however, each address one piece of the uncertainty problem — forward propagation, sensitivity, or calibration — with separately tuned models. No existing framework wires all three analyses to a single probabilistic surrogate trained on coupled data.</w:t>
      </w:r>
    </w:p>
    <w:p>
      <w:r>
        <w:rPr>
          <w:rFonts w:ascii="Times New Roman" w:hAnsi="Times New Roman" w:eastAsia="微软雅黑"/>
        </w:rPr>
        <w:t>此类系统的高保真耦合仿真进展迅速。基于 MOOSE 的工具链已可处理 KRUSTY 类及更大设计上的中子–热力–热管耦合分析 [2,3]。独立的热–力研究亦确认，应力集中是基体式堆芯构型中持续性的安全关注 [4,5]。在 MOOSE 生态 [6,7] 和数字孪生管线 [8] 中，随机分析与代理辅助概率模块相继出现。但上述工作各自处理不确定性问题的一个环节——前向传播、敏感性或标定——使用的是各自调参的模型。尚无现成框架将三类分析统一挂接到一个基于耦合数据训练的概率代理上。</w:t>
      </w:r>
    </w:p>
    <w:p>
      <w:r>
        <w:rPr>
          <w:rFonts w:ascii="Times New Roman" w:hAnsi="Times New Roman" w:eastAsia="微软雅黑"/>
        </w:rPr>
        <w:t>Direct probabilistic analysis on the coupled solver is impractical: each solve costs ~10³ s, so both forward uncertainty propagation and Bayesian calibration exceed feasible budgets. Among candidate surrogates, Gaussian processes and polynomial chaos face dimensionality and smoothness constraints in nonlinear coupled settings. Physics-informed neural networks require a closed residual form that iterative solver exchange does not provide. Deterministic neural networks scale well but yield only point predictions, leaving the downstream analyses without a shared probabilistic basis.</w:t>
      </w:r>
    </w:p>
    <w:p>
      <w:r>
        <w:rPr>
          <w:rFonts w:ascii="Times New Roman" w:hAnsi="Times New Roman" w:eastAsia="微软雅黑"/>
        </w:rPr>
        <w:t>在耦合求解器上直接开展概率分析不可行：每次求解约需 10³ s，前向不确定性传播与贝叶斯标定的计算预算均无法承受。在可选代理中，高斯过程与多项式混沌在非线性耦合设置下受维度与光滑性限制；物理信息神经网络需要闭合残差形式，而迭代求解器交换无法提供；确定性神经网络虽可扩展，但仅输出点估计，下游分析缺少共享的概率基础。</w:t>
      </w:r>
    </w:p>
    <w:p>
      <w:r>
        <w:rPr>
          <w:rFonts w:ascii="Times New Roman" w:hAnsi="Times New Roman" w:eastAsia="微软雅黑"/>
        </w:rPr>
        <w:t>A Bayesian neural network (BNN) resolves this limitation by placing a distribution over the network weights. Its posterior predictive distribution can be sampled at negligible cost once trained, and the same distribution serves all three downstream analyses — forward uncertainty propagation, variance-based sensitivity attribution and observation-conditioned posterior calibration — without retraining or recalibration between them.</w:t>
      </w:r>
    </w:p>
    <w:p>
      <w:r>
        <w:rPr>
          <w:rFonts w:ascii="Times New Roman" w:hAnsi="Times New Roman" w:eastAsia="微软雅黑"/>
        </w:rPr>
        <w:t>贝叶斯神经网络（BNN）通过对权重引入分布来克服上述限制。训练完成后，其后验预测分布可以极低代价反复采样，同一分布直接服务于下游三类分析——前向不确定性传播、基于方差的敏感性归因与观测条件后验标定——三者之间无需重训或重新校准。</w:t>
      </w:r>
    </w:p>
    <w:p>
      <w:r>
        <w:rPr>
          <w:rFonts w:ascii="Times New Roman" w:hAnsi="Times New Roman" w:eastAsia="微软雅黑"/>
        </w:rPr>
        <w:t>We train such a BNN on coupled OpenMC–FEniCS data for a heat-pipe-cooled reactor and use its posterior predictive distribution as the shared basis for all three analyses. The forward propagation quantifies how coupling reshapes output uncertainty; the Sobol decomposition identifies which parameters govern stress versus reactivity; and the MCMC calibration contracts the parameter distribution toward observation-compatible regions. The entire workflow runs end-to-end on a single workstation because every evaluation is performed on the surrogate rather than on the coupled solver.</w:t>
      </w:r>
    </w:p>
    <w:p>
      <w:r>
        <w:rPr>
          <w:rFonts w:ascii="Times New Roman" w:hAnsi="Times New Roman" w:eastAsia="微软雅黑"/>
        </w:rPr>
        <w:t>本文在热管冷却反应堆的耦合 OpenMC–FEniCS 数据上训练 BNN，以其后验预测分布作为三类分析的共享基础。前向传播量化耦合如何重塑输出不确定性；Sobol 分解辨识哪些参数分别主导应力与反应性；MCMC 标定将参数分布收敛至与观测相容的区域。因为所有评估均在代理上完成而非耦合求解器上，整套工作流可在单台工作站上端到端运行。</w:t>
      </w:r>
    </w:p>
    <w:p>
      <w:pPr>
        <w:pStyle w:val="Heading1"/>
      </w:pPr>
      <w:r>
        <w:t>2. 结果 / Results</w:t>
      </w:r>
    </w:p>
    <w:p>
      <w:pPr>
        <w:pStyle w:val="Heading2"/>
      </w:pPr>
      <w:r>
        <w:t>2.1 代理精度 / Surrogate Accuracy</w:t>
      </w:r>
    </w:p>
    <w:p>
      <w:r>
        <w:rPr>
          <w:rFonts w:ascii="Times New Roman" w:hAnsi="Times New Roman" w:eastAsia="微软雅黑"/>
        </w:rPr>
        <w:t xml:space="preserve">The BNN simultaneously predicts all 15 coupled and decoupled outputs (full accuracy table in Appendix D). The main-text analyses focus on two: peak global stress in the SS316 monolith, which sets the structural-integrity margin, and the multiplication factor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which governs reactivity stability.</w:t>
      </w:r>
    </w:p>
    <w:p>
      <w:r>
        <w:rPr>
          <w:rFonts w:ascii="Times New Roman" w:hAnsi="Times New Roman" w:eastAsia="微软雅黑"/>
        </w:rPr>
        <w:t xml:space="preserve">On 435 test samples, the surrogate predicts stress with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0.910, RMSE 8.93 MPa and MAE 6.98 MPa,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with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0.825. The 90% predictive intervals are conservatively calibrated rather than sharp (Table 2, Fig. 2A). Physics-consistent constraints — monotonicity and inequality priors — improve interval sharpness without weakening coverage (ablation in Appendix B).</w:t>
      </w:r>
    </w:p>
    <w:p>
      <w:r>
        <w:rPr>
          <w:rFonts w:ascii="Times New Roman" w:hAnsi="Times New Roman" w:eastAsia="微软雅黑"/>
        </w:rPr>
        <w:t>The BNN thus provides a posterior predictive distribution that serves forward propagation, sensitivity attribution and posterior calibration without retraining between analyses.</w:t>
      </w:r>
    </w:p>
    <w:p>
      <w:r>
        <w:rPr>
          <w:rFonts w:ascii="Times New Roman" w:hAnsi="Times New Roman" w:eastAsia="微软雅黑"/>
        </w:rPr>
        <w:t xml:space="preserve">BNN 同时预测全部 15 个耦合与解耦输出（完整精度表见附录 D）。正文聚焦其中两个：SS316 基体峰值全局应力，决定结构完整性裕��；中子增殖因子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，控制反应性稳定性。</w:t>
      </w:r>
    </w:p>
    <w:p>
      <w:r>
        <w:rPr>
          <w:rFonts w:ascii="Times New Roman" w:hAnsi="Times New Roman" w:eastAsia="微软雅黑"/>
        </w:rPr>
        <w:t xml:space="preserve">在 435 个测试样本上，代理预测应力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0.910，RMSE 8.93 MPa， MAE 6.98 MPa；</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0.825。90% 预测区间为保守标定而非锐利标定（表 2、图 2A）。物理一致性约束——单调性与不等式先验——在不降低覆盖率的前提下改善了��间锐度（消融见附录 B）。</w:t>
      </w:r>
    </w:p>
    <w:p>
      <w:r>
        <w:rPr>
          <w:rFonts w:ascii="Times New Roman" w:hAnsi="Times New Roman" w:eastAsia="微软雅黑"/>
        </w:rPr>
        <w:t>由此，BNN 提供的后验预测分布可直接服务于前向传播、敏感性归因与后验标定，三者之间无需重训。</w:t>
      </w:r>
    </w:p>
    <w:p>
      <w:pPr>
        <w:pStyle w:val="Heading2"/>
      </w:pPr>
      <w:r>
        <w:t>2.2 前向不确定性传播 / Forward Uncertainty Propagation</w:t>
      </w:r>
    </w:p>
    <w:p>
      <w:r>
        <w:rPr>
          <w:rFonts w:ascii="Times New Roman" w:hAnsi="Times New Roman" w:eastAsia="微软雅黑"/>
        </w:rPr>
        <w:t>Propagating 20,000 Latin hypercube samples through the BNN posterior-predictive mean y = E_w[μ_w(θ)] yields a coupled stress distribution with mean 162.5 MPa and standard deviation 35.5 MPa. The corresponding decoupled prediction has mean ≈ 202.4 MPa and standard deviation ≈ 49.2 MPa. Coupling reduces the stress standard deviation by ≈ 28% and lowers the mean by ≈ 40 MPa: the closed neutronic–thermal feedback absorbs a substantial fraction of the parameter-driven variability (Table 4, Fig. 3).</w:t>
      </w:r>
    </w:p>
    <w:p>
      <w:r>
        <w:rPr>
          <w:rFonts w:ascii="Times New Roman" w:hAnsi="Times New Roman" w:eastAsia="微软雅黑"/>
        </w:rPr>
        <w:t>将 20,000 个拉丁超立方样本通过 BNN 后验预测均值 y = E_w[μ_w(θ)] 传播，所得耦合应力分布均值 162.5 MPa，标准差 35.5 MPa。对应的解耦预测均值约 202.4 MPa，标准差约 49.2 MPa。耦合使应力标准差降低约 28%，均值下移约 40 MPa：闭合的中子–热反馈吸收了相当一部分参数驱动的变异（表 4、图 3）。</w:t>
      </w:r>
    </w:p>
    <w:p>
      <w:r>
        <w:rPr>
          <w:rFonts w:ascii="Times New Roman" w:hAnsi="Times New Roman" w:eastAsia="微软雅黑"/>
        </w:rPr>
        <w:t xml:space="preserve">The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response differs qualitatively. The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has mean 1.1036 and standard deviation ≈ 107 pcm. The decoupled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effectively constant because, at the reference geometry, the sampled material parameters do not enter the cross-section tables. The entire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spread is therefore attributable to thermal-expansion modification of core geometry feeding back into the neutronic balance.</w:t>
      </w:r>
    </w:p>
    <w:p>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的响应在性质上不同。耦合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均值 1.1036，标准差约 107 pcm。解耦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实质上为常数，因为在参考几何下采样的材料参数不进入截面表。耦合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的展宽因此完全归因于热膨胀改变堆芯几何后对中子平衡的反馈。</w:t>
      </w:r>
    </w:p>
    <w:p>
      <w:pPr>
        <w:pStyle w:val="Heading2"/>
      </w:pPr>
      <w:r>
        <w:t>2.3 全局敏感性分析 / Global Sensitivity Analysis</w:t>
      </w:r>
    </w:p>
    <w:p>
      <w:r>
        <w:rPr>
          <w:rFonts w:ascii="Times New Roman" w:hAnsi="Times New Roman" w:eastAsia="微软雅黑"/>
        </w:rPr>
        <w:t xml:space="preserve">Variance-based Sobol analysis (50 independent replications; full index table in Appendix C) reveals that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respond to largely non-overlapping parameter groups (Table 5, Fig. 4).</w:t>
      </w:r>
    </w:p>
    <w:p>
      <w:r>
        <w:rPr>
          <w:rFonts w:ascii="Times New Roman" w:hAnsi="Times New Roman" w:eastAsia="微软雅黑"/>
        </w:rPr>
        <w:t xml:space="preserve">基于方差的 Sobol 分析（50 次独立重复；完整指数表见附录 C）表明应力与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由基本不重叠的参数组驱动（表 5，图 4）。</w:t>
      </w:r>
    </w:p>
    <w:p>
      <w:r>
        <w:rPr>
          <w:rFonts w:ascii="Times New Roman" w:hAnsi="Times New Roman" w:eastAsia="微软雅黑"/>
        </w:rPr>
        <w:t xml:space="preserve">Stress variance is dominated by the Young's modulus intercept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0.56), which alone accounts for roughly 60% of the first-order variance. The small gap between its total-order and first-order indices (S_T − S₁ ≈ 0.04) confirms that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acts through a nearly independent channel. Secondary stable contributors are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and ν; the remaining four parameters contribute negligibly. Physically, this structure reflects the direct role of stiffness in the stress constitutive law σ = C(E, ν) · ε.</w:t>
      </w:r>
    </w:p>
    <w:p>
      <w:r>
        <w:rPr>
          <w:rFonts w:ascii="Times New Roman" w:hAnsi="Times New Roman" w:eastAsia="微软雅黑"/>
        </w:rPr>
        <w:t xml:space="preserve">应力方差由弹性模量截距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主导（S₁ ≈ 0.56），单独解释约 60% 的一阶方差。其总阶与一阶指数之差较小（S_T − S₁ ≈ 0.04），确认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通过近乎独立的通道起作用。</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与 ν 为次级稳定贡献者；其余四个参数贡献可忽略。物理上，这一结构反映刚度在应力本构关系 σ = C(E, ν) · ε 中的直接角色。</w:t>
      </w:r>
    </w:p>
    <w:p>
      <w:r>
        <w:rPr>
          <w:rFonts w:ascii="Times New Roman" w:hAnsi="Times New Roman" w:eastAsia="微软雅黑"/>
        </w:rPr>
        <w:t xml:space="preserve">Reactivity variance is controlled by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(S₁ ≈ 0.74), the parameter that sets the magnitude of thermal expansion and, through geometry change, neutron leakage.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ν are secondary contributors; the remaining five parameters have negligible first-order effects. The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sensitivity is thus rooted in the thermal-expansion pathway that mediates geometry-dependent neutronic feedback.</w:t>
      </w:r>
    </w:p>
    <w:p>
      <w:r>
        <w:rPr>
          <w:rFonts w:ascii="Times New Roman" w:hAnsi="Times New Roman" w:eastAsia="微软雅黑"/>
        </w:rPr>
        <w:t xml:space="preserve">反应性方差由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主导（S₁ ≈ 0.74），该参数决定热膨胀幅度，并经由几何变化影响中子泄漏。</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与 ν 为次级贡献者；其余五个参数一阶效应可忽略。</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敏感性因此根植于热膨胀介导几何依赖中子反馈的路径。</w:t>
      </w:r>
    </w:p>
    <w:p>
      <w:r>
        <w:rPr>
          <w:rFonts w:ascii="Times New Roman" w:hAnsi="Times New Roman" w:eastAsia="微软雅黑"/>
        </w:rPr>
        <w:t xml:space="preserve">Because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governs stress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governs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with limited cross-coupling, the two outputs carry complementary information: stress observations primarily constrain the elastic properties, while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observations primarily constrain the thermal-expansion properties. This separation has direct consequences for parameter calibration and experimental design.</w:t>
      </w:r>
    </w:p>
    <w:p>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主导应力而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，两者交叉耦合有限，因此两个输出携带互补信息：应力观测主要约束弹性性质，</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观测主要约束热膨胀性质。这一分离对参数标定和实验设计均有直接意义。</w:t>
      </w:r>
    </w:p>
    <w:p>
      <w:pPr>
        <w:pStyle w:val="Heading2"/>
      </w:pPr>
      <w:r>
        <w:t>2.4 后验标定 / Posterior Calibration</w:t>
      </w:r>
    </w:p>
    <w:p>
      <w:r>
        <w:rPr>
          <w:rFonts w:ascii="Times New Roman" w:hAnsi="Times New Roman" w:eastAsia="微软雅黑"/>
        </w:rPr>
        <w:t xml:space="preserve">Bayesian calibration uses the same BNN to update the prior parameter distribution given noisy observations. Metropolis-Hastings MCMC (8000 iterations, burn-in 2000, thinning 5, proposal scale 0.40) is run on 18 benchmark cases selected from the test split to cover a representative range of stress levels. For each case, observations are the true high-fidelity outputs of five coupled quantities perturbed by 2% Gaussian noise. Acceptance rates range from </w:t>
      </w:r>
      <w:r>
        <w:rPr>
          <w:rFonts w:ascii="Times New Roman" w:hAnsi="Times New Roman" w:eastAsia="微软雅黑"/>
          <w:b/>
          <w:color w:val="CC0000"/>
        </w:rPr>
        <w:t>【x】</w:t>
      </w:r>
      <w:r>
        <w:rPr>
          <w:rFonts w:ascii="Times New Roman" w:hAnsi="Times New Roman" w:eastAsia="微软雅黑"/>
        </w:rPr>
        <w:t xml:space="preserve">, with mean </w:t>
      </w:r>
      <w:r>
        <w:rPr>
          <w:rFonts w:ascii="Times New Roman" w:hAnsi="Times New Roman" w:eastAsia="微软雅黑"/>
          <w:b/>
          <w:color w:val="CC0000"/>
        </w:rPr>
        <w:t>【x】</w:t>
      </w:r>
      <w:r>
        <w:rPr>
          <w:rFonts w:ascii="Times New Roman" w:hAnsi="Times New Roman" w:eastAsia="微软雅黑"/>
        </w:rPr>
        <w:t xml:space="preserve"> (convergence diagnostics in Appendix E).</w:t>
      </w:r>
    </w:p>
    <w:p>
      <w:r>
        <w:rPr>
          <w:rFonts w:ascii="Times New Roman" w:hAnsi="Times New Roman" w:eastAsia="微软雅黑"/>
        </w:rPr>
        <w:t xml:space="preserve">贝叶斯标定使用同一 BNN，在给定含噪观测后更新先验参数分布。 Metropolis-Hastings MCMC（8000 步，烧入 2000，抽稀 5，提议尺度 0.40）在 18 个基准案例上运行，这些案例从测试集中选取以覆盖代表性应力水平范围。每个案例的观测量为 5 个耦合输出的真实高保真值叠加 2% 高斯噪声。接受率范围 </w:t>
      </w:r>
      <w:r>
        <w:rPr>
          <w:rFonts w:ascii="Times New Roman" w:hAnsi="Times New Roman" w:eastAsia="微软雅黑"/>
          <w:b/>
          <w:color w:val="CC0000"/>
        </w:rPr>
        <w:t>【x】</w:t>
      </w:r>
      <w:r>
        <w:rPr>
          <w:rFonts w:ascii="Times New Roman" w:hAnsi="Times New Roman" w:eastAsia="微软雅黑"/>
        </w:rPr>
        <w:t xml:space="preserve">，均值 </w:t>
      </w:r>
      <w:r>
        <w:rPr>
          <w:rFonts w:ascii="Times New Roman" w:hAnsi="Times New Roman" w:eastAsia="微软雅黑"/>
          <w:b/>
          <w:color w:val="CC0000"/>
        </w:rPr>
        <w:t>【x】</w:t>
      </w:r>
      <w:r>
        <w:rPr>
          <w:rFonts w:ascii="Times New Roman" w:hAnsi="Times New Roman" w:eastAsia="微软雅黑"/>
        </w:rPr>
        <w:t>（收敛诊断见附录 E）。</w:t>
      </w:r>
    </w:p>
    <w:p>
      <w:r>
        <w:rPr>
          <w:rFonts w:ascii="Times New Roman" w:hAnsi="Times New Roman" w:eastAsia="微软雅黑"/>
        </w:rPr>
        <w:t xml:space="preserve">The four calibrated parameters are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the four that the Sobol analysis identified as jointly covering the dominant variance channels for both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Across the 18 cases, their posterior 90%-CI coverage is </w:t>
      </w:r>
      <w:r>
        <w:rPr>
          <w:rFonts w:ascii="Times New Roman" w:hAnsi="Times New Roman" w:eastAsia="微软雅黑"/>
          <w:b/>
          <w:color w:val="CC0000"/>
        </w:rPr>
        <w:t>【x】</w:t>
      </w:r>
      <w:r>
        <w:rPr>
          <w:rFonts w:ascii="Times New Roman" w:hAnsi="Times New Roman" w:eastAsia="微软雅黑"/>
        </w:rPr>
        <w:t>. The parameters that Sobol identified as most influential are indeed the ones most effectively constrained by the observations.</w:t>
      </w:r>
    </w:p>
    <w:p>
      <w:r>
        <w:rPr>
          <w:rFonts w:ascii="Times New Roman" w:hAnsi="Times New Roman" w:eastAsia="微软雅黑"/>
        </w:rPr>
        <w:t xml:space="preserve">四个标定参数为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与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，即 Sobol 分析辨识的对应力与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方差贡献最大的四个参数。18 个案例上后验 90%-CI 覆盖率为 </w:t>
      </w:r>
      <w:r>
        <w:rPr>
          <w:rFonts w:ascii="Times New Roman" w:hAnsi="Times New Roman" w:eastAsia="微软雅黑"/>
          <w:b/>
          <w:color w:val="CC0000"/>
        </w:rPr>
        <w:t>【x】</w:t>
      </w:r>
      <w:r>
        <w:rPr>
          <w:rFonts w:ascii="Times New Roman" w:hAnsi="Times New Roman" w:eastAsia="微软雅黑"/>
        </w:rPr>
        <w:t>。Sobol 标出的最有影响力的参数，确实也是被观测最有效约束的参数。</w:t>
      </w:r>
    </w:p>
    <w:p>
      <w:r>
        <w:rPr>
          <w:rFonts w:ascii="Times New Roman" w:hAnsi="Times New Roman" w:eastAsia="微软雅黑"/>
        </w:rPr>
        <w:t xml:space="preserve">The marginal posteriors exhibit non-Gaussian structure consistent with the multiplicative stress form σ ∝ E · α · ΔT. In higher-stress cases, the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marginal shifts toward larger values, mirroring its dominant Sobol rank. The joint posterior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develops a compensation ridge: an increase in stiffness can be partially offset by a decrease in thermal expansion, leaving the stress product approximately invariant. This partial non-identifiability is a direct consequence of the product structure and would not be visible in a single-output calibration.</w:t>
      </w:r>
    </w:p>
    <w:p>
      <w:r>
        <w:rPr>
          <w:rFonts w:ascii="Times New Roman" w:hAnsi="Times New Roman" w:eastAsia="微软雅黑"/>
        </w:rPr>
        <w:t>边际后验呈现与乘积应力形式 σ ∝ E · α · ΔT 一致的非高斯结构。在高应力案例中，</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的边际向更大值偏移，与其在 Sobol 中的应力主导地位吻合。</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与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的联合后验出现一条补偿脊：刚度增加可被热膨胀降低部分抵消，使应力乘积近似不变。这种部分不可识别性直接源于乘积结构，在单输出标定中不可见。</w:t>
      </w:r>
    </w:p>
    <w:p>
      <w:r>
        <w:rPr>
          <w:rFonts w:ascii="Times New Roman" w:hAnsi="Times New Roman" w:eastAsia="微软雅黑"/>
        </w:rPr>
        <w:t xml:space="preserve">Evaluating the BNN at the posterior-mean parameters of each case, the predicted stress tracks the true value with MAE = </w:t>
      </w:r>
      <w:r>
        <w:rPr>
          <w:rFonts w:ascii="Times New Roman" w:hAnsi="Times New Roman" w:eastAsia="微软雅黑"/>
          <w:b/>
          <w:color w:val="CC0000"/>
        </w:rPr>
        <w:t>【x】</w:t>
      </w:r>
      <w:r>
        <w:rPr>
          <w:rFonts w:ascii="Times New Roman" w:hAnsi="Times New Roman" w:eastAsia="微软雅黑"/>
        </w:rPr>
        <w:t xml:space="preserve"> MPa over a true-stress range of </w:t>
      </w:r>
      <w:r>
        <w:rPr>
          <w:rFonts w:ascii="Times New Roman" w:hAnsi="Times New Roman" w:eastAsia="微软雅黑"/>
          <w:b/>
          <w:color w:val="CC0000"/>
        </w:rPr>
        <w:t>【x】</w:t>
      </w:r>
      <w:r>
        <w:rPr>
          <w:rFonts w:ascii="Times New Roman" w:hAnsi="Times New Roman" w:eastAsia="微软雅黑"/>
        </w:rPr>
        <w:t xml:space="preserve"> MPa. The calibration contracts the parameter distribution toward observation-compatible regions.</w:t>
      </w:r>
    </w:p>
    <w:p>
      <w:r>
        <w:rPr>
          <w:rFonts w:ascii="Times New Roman" w:hAnsi="Times New Roman" w:eastAsia="微软雅黑"/>
        </w:rPr>
        <w:t xml:space="preserve">在每个案例的后验均值参数处评估 BNN，预测应力与真值吻合， MAE = </w:t>
      </w:r>
      <w:r>
        <w:rPr>
          <w:rFonts w:ascii="Times New Roman" w:hAnsi="Times New Roman" w:eastAsia="微软雅黑"/>
          <w:b/>
          <w:color w:val="CC0000"/>
        </w:rPr>
        <w:t>【x】</w:t>
      </w:r>
      <w:r>
        <w:rPr>
          <w:rFonts w:ascii="Times New Roman" w:hAnsi="Times New Roman" w:eastAsia="微软雅黑"/>
        </w:rPr>
        <w:t xml:space="preserve"> MPa，真实应力范围 </w:t>
      </w:r>
      <w:r>
        <w:rPr>
          <w:rFonts w:ascii="Times New Roman" w:hAnsi="Times New Roman" w:eastAsia="微软雅黑"/>
          <w:b/>
          <w:color w:val="CC0000"/>
        </w:rPr>
        <w:t>【x】</w:t>
      </w:r>
      <w:r>
        <w:rPr>
          <w:rFonts w:ascii="Times New Roman" w:hAnsi="Times New Roman" w:eastAsia="微软雅黑"/>
        </w:rPr>
        <w:t xml:space="preserve"> MPa。标定将参数分布收敛至与观测相容的区域。</w:t>
      </w:r>
    </w:p>
    <w:p>
      <w:pPr>
        <w:pStyle w:val="Heading1"/>
      </w:pPr>
      <w:r>
        <w:t>3. 讨论 / Discussion</w:t>
      </w:r>
    </w:p>
    <w:p>
      <w:pPr>
        <w:pStyle w:val="Heading2"/>
      </w:pPr>
      <w:r>
        <w:t>3.1 耦合反馈与不确定性压缩 / Coupling Feedback and Uncertainty Compression</w:t>
      </w:r>
    </w:p>
    <w:p>
      <w:r>
        <w:rPr>
          <w:rFonts w:ascii="Times New Roman" w:hAnsi="Times New Roman" w:eastAsia="微软雅黑"/>
        </w:rPr>
        <w:t>The stress standard deviation drops from ≈ 49.2 MPa in the decoupled response to ≈ 35.5 MPa after coupling convergence, a ≈ 28% reduction. The mechanism is the negative neutronic–thermal feedback characteristic of compact monolithic-core systems: thermal expansion modifies the core geometry, which shifts the neutronic balance and partially offsets the direct stress increase. What the BNN-based forward propagation establishes is the net effect of this feedback on the output distribution. A decoupled analysis does not see the feedback loop and therefore overestimates the parameter-driven stress variability.</w:t>
      </w:r>
    </w:p>
    <w:p>
      <w:r>
        <w:rPr>
          <w:rFonts w:ascii="Times New Roman" w:hAnsi="Times New Roman" w:eastAsia="微软雅黑"/>
        </w:rPr>
        <w:t>应力标准差从解耦响应的 ≈ 49.2 MPa 降至耦合收敛后的 ≈ 35.5 MPa，降幅约 28%。机制为紧凑型基体堆芯典型的负向中子–热反馈：热膨胀改变堆芯几何，偏移中子平衡并部分抵消直接的应力增加。BNN 前向传播所建立的是反馈对输出分布的净效应。解耦分析看不到该反馈回路，因此会高估参数驱动的应力变异。</w:t>
      </w:r>
    </w:p>
    <w:p>
      <w:r>
        <w:rPr>
          <w:rFonts w:ascii="Times New Roman" w:hAnsi="Times New Roman" w:eastAsia="微软雅黑"/>
        </w:rPr>
        <w:t>The overestimate is conservative for safety-margin evaluation and cannot produce an unsafe conclusion, but it inflates the apparent penalty of material-property uncertainty. In practice, this can translate into manufacturing tolerances stricter than the coupled response warrants.</w:t>
      </w:r>
    </w:p>
    <w:p>
      <w:r>
        <w:rPr>
          <w:rFonts w:ascii="Times New Roman" w:hAnsi="Times New Roman" w:eastAsia="微软雅黑"/>
        </w:rPr>
        <w:t>该高估对安全裕量评价是保守的，不会得出不安全结论，但会夸大材料不确定性所带来的表观惩罚。实际上，这可能转化为比耦合响应实际所需更严的制造公差。</w:t>
      </w:r>
    </w:p>
    <w:p>
      <w:pPr>
        <w:pStyle w:val="Heading2"/>
      </w:pPr>
      <w:r>
        <w:t>3.2 BNN 校准与模型选择 / BNN Calibration and Model Selection</w:t>
      </w:r>
    </w:p>
    <w:p>
      <w:r>
        <w:rPr>
          <w:rFonts w:ascii="Times New Roman" w:hAnsi="Times New Roman" w:eastAsia="微软雅黑"/>
        </w:rPr>
        <w:t>Compared with a purely data-driven BNN (the ELBO-only ablation in Appendix B), the physics-consistent constraints shrink the 90% predictive interval without sacrificing coverage. The interval tightening at constant coverage indicates sharpening rather than miscalibration. This means the same BNN posterior predictive distribution can propagate consistently through forward UQ, Sobol attribution and MCMC calibration. A point-estimate surrogate would require separate uncertainty wrappers for each analysis with no guarantee of mutual consistency.</w:t>
      </w:r>
    </w:p>
    <w:p>
      <w:r>
        <w:rPr>
          <w:rFonts w:ascii="Times New Roman" w:hAnsi="Times New Roman" w:eastAsia="微软雅黑"/>
        </w:rPr>
        <w:t>相比纯数据驱动 BNN（附录 B 的 ELBO-only 消融），物理一致性约束在覆盖率不变的前提下缩窄了 90% 预测区间。覆盖率恒定而区间收窄，表明是锐化而非失校。这意味着同一 BNN 后验预测分布可在前向 UQ、Sobol 归因与 MCMC 标定之间一致传播。点估计代理则需要为每类分析分别构建不确定性，且无法保证相互一致。</w:t>
      </w:r>
    </w:p>
    <w:p>
      <w:pPr>
        <w:pStyle w:val="Heading2"/>
      </w:pPr>
      <w:r>
        <w:t>3.3 工程含义 / Engineering Implications</w:t>
      </w:r>
    </w:p>
    <w:p>
      <w:r>
        <w:rPr>
          <w:rFonts w:ascii="Times New Roman" w:hAnsi="Times New Roman" w:eastAsia="微软雅黑"/>
        </w:rPr>
        <w:t>The sensitivity and calibration results jointly suggest three engineering implications.</w:t>
      </w:r>
    </w:p>
    <w:p>
      <w:r>
        <w:rPr>
          <w:rFonts w:ascii="Times New Roman" w:hAnsi="Times New Roman" w:eastAsia="微软雅黑"/>
        </w:rPr>
        <w:t>敏感性与标定结果共同引出三方面工程含义。</w:t>
      </w:r>
    </w:p>
    <w:p>
      <w:r>
        <w:rPr>
          <w:rFonts w:ascii="Times New Roman" w:hAnsi="Times New Roman" w:eastAsia="微软雅黑"/>
        </w:rPr>
        <w:t xml:space="preserve">First, when prior parameter knowledge comes from material handbooks or manufacturing specifications, this workflow identifies which parameters are worth refining through targeted experiments. For stress-margin assessment, reducing the uncertainty on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is the most efficient single action; for reactivity stability,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the priority. The two measurements target different experimental setups and can proceed in parallel.</w:t>
      </w:r>
    </w:p>
    <w:p>
      <w:r>
        <w:rPr>
          <w:rFonts w:ascii="Times New Roman" w:hAnsi="Times New Roman" w:eastAsia="微软雅黑"/>
        </w:rPr>
        <w:t xml:space="preserve">当先验参数来自材料手册或制造规范时，本工作流���辨识哪些参数值得通过定向实验进一步精化。对应力裕量评估，减小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不确定性是最高效的单一行动；对反应性稳定性，</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是优先项。两项测量对应不同实验装置，可以并行推进。</w:t>
      </w:r>
    </w:p>
    <w:p>
      <w:r>
        <w:rPr>
          <w:rFonts w:ascii="Times New Roman" w:hAnsi="Times New Roman" w:eastAsia="微软雅黑"/>
        </w:rPr>
        <w:t>Second, when measured or monitored data become available, the posterior calibration can fold that information back into the same surrogate without retraining. The updated parameter distribution immediately propagates to all outputs through the BNN, producing progressively tighter output distributions as characterisation is refined. This makes the workflow iterative rather than one-shot.</w:t>
      </w:r>
    </w:p>
    <w:p>
      <w:r>
        <w:rPr>
          <w:rFonts w:ascii="Times New Roman" w:hAnsi="Times New Roman" w:eastAsia="微软雅黑"/>
        </w:rPr>
        <w:t>当出现实测或监测数据时，后验标定可将该信息反馈到同一代理中而无需重训。更新后的参数分布通过 BNN 立即传播到所有输出，随着表征精化而逐步收紧输出分布，使整套工作流具有可迭代性。</w:t>
      </w:r>
    </w:p>
    <w:p>
      <w:r>
        <w:rPr>
          <w:rFonts w:ascii="Times New Roman" w:hAnsi="Times New Roman" w:eastAsia="微软雅黑"/>
        </w:rPr>
        <w:t xml:space="preserve">Third, the complementary information content of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observations suggests that experimental design should not rely on a single composite metric. Stress observations primarily constrain the elastic properties, while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observations constrain the thermal-expansion properties; using both jointly provides stronger parameter identification than either alone.</w:t>
      </w:r>
    </w:p>
    <w:p>
      <w:r>
        <w:rPr>
          <w:rFonts w:ascii="Times New Roman" w:hAnsi="Times New Roman" w:eastAsia="微软雅黑"/>
        </w:rPr>
        <w:t xml:space="preserve">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观测所提供的信息互补，这意味着实验设计不应仅依赖单一综合指标。应力观测主要约束弹性性质，</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观测主要约束热膨胀性质；联合使用两类观测所提供的参数识别能力强于单一观测。</w:t>
      </w:r>
    </w:p>
    <w:p>
      <w:r>
        <w:rPr>
          <w:rFonts w:ascii="Times New Roman" w:hAnsi="Times New Roman" w:eastAsia="微软雅黑"/>
        </w:rPr>
        <w:t>These indications are model-driven guidance, not design directives. They do not substitute for verification on the high-fidelity solver.</w:t>
      </w:r>
    </w:p>
    <w:p>
      <w:r>
        <w:rPr>
          <w:rFonts w:ascii="Times New Roman" w:hAnsi="Times New Roman" w:eastAsia="微软雅黑"/>
        </w:rPr>
        <w:t>上述结论���模型驱动的指引，而非设计指令，也不替代高保真求解器上的核验。</w:t>
      </w:r>
    </w:p>
    <w:p>
      <w:pPr>
        <w:pStyle w:val="Heading2"/>
      </w:pPr>
      <w:r>
        <w:t>3.4 计算效率 / Computational Efficiency</w:t>
      </w:r>
    </w:p>
    <w:p>
      <w:r>
        <w:rPr>
          <w:rFonts w:ascii="Times New Roman" w:hAnsi="Times New Roman" w:eastAsia="微软雅黑"/>
        </w:rPr>
        <w:t>The BNN produces one posterior-predictive draw, averaged over 50 Monte Carlo weight samples, in 1.29×10⁻² s on GPU. Batched inference at batch size 1024 reaches a per-sample cost of 1.34×10⁻⁵ s, equivalent to a throughput of ≈ 7.5×10⁴ samples/s. The coupled HF solver requires 2266 s, or about 38 min, per case. This figure is the mean of three independent runs with standard deviation 1.34 s, measured on an AMD EPYC 9654 96-core node with 566 GB RAM and 2× RTX 5090. The resulting speedups are ≈ 1.76×10⁵ for one posterior-predictive draw, and ≈ 1.69×10⁸ for batched per-sample inference. A 20,000-sample forward-UQ pass requires ≈ 0.3 s of GPU time excluding I/O, against 4.5×10⁷ s of sequential HF cost. This is the operating cost on which the full probabilistic workflow is built.</w:t>
      </w:r>
    </w:p>
    <w:p>
      <w:r>
        <w:rPr>
          <w:rFonts w:ascii="Times New Roman" w:hAnsi="Times New Roman" w:eastAsia="微软雅黑"/>
        </w:rPr>
        <w:t>BNN 代理每完成一次后验预测抽样（对 50 个 MC 权重样本求均值）GPU 时间为 1.29×10⁻² s。批大小 1024 时单样本推断时间为 1.34×10⁻⁵ s，吞吐量约 7.5×10⁴ 样本/s。耦合高保真求解器单案例耗时 2266 s，约 38 分钟。该数字为 3 次独立运行的均值，标准差 1.34 s；测试硬件为 AMD EPYC 9654 96 核节点，566 GB RAM，2× RTX 5090。由此得到的加速比为：单次后验预测抽样相对 HF 约 1.76×10⁵，批处理单样本推断相对 HF 约 1.69×10⁸。 20,000 样本前向 UQ 推断（不含 I/O）约需 0.3 s GPU 时间，对应顺序 HF 成本约 4.5×10⁷ s。该推断代价构成完整概率工作流的基础。</w:t>
      </w:r>
    </w:p>
    <w:p>
      <w:r>
        <w:rPr>
          <w:rFonts w:ascii="Times New Roman" w:hAnsi="Times New Roman" w:eastAsia="微软雅黑"/>
        </w:rPr>
        <w:t>This speedup enables the full probabilistic workflow — 20,000-sample Monte Carlo propagation, 50-replication Sobol analysis, and 18-case MCMC calibration — to run within minutes of wall-clock time, making iterative coupled-model exploration computationally tractable for HPR systems with significant material uncertainty.</w:t>
      </w:r>
    </w:p>
    <w:p>
      <w:r>
        <w:rPr>
          <w:rFonts w:ascii="Times New Roman" w:hAnsi="Times New Roman" w:eastAsia="微软雅黑"/>
        </w:rPr>
        <w:t>该加速使完整概率工作流——20,000 样本蒙特卡洛传播、50 次重复 Sobol 分析与 18 例 MCMC 标定——可在数分钟内完成，使具有显著材料不确定性的 HPR 系统的迭代耦合模型探索在计算上可行。</w:t>
      </w:r>
    </w:p>
    <w:p>
      <w:pPr>
        <w:pStyle w:val="Heading2"/>
      </w:pPr>
      <w:r>
        <w:t>3.5 局限性 / Limitations</w:t>
      </w:r>
    </w:p>
    <w:p>
      <w:r>
        <w:rPr>
          <w:rFonts w:ascii="Times New Roman" w:hAnsi="Times New Roman" w:eastAsia="微软雅黑"/>
        </w:rPr>
        <w:t>The surrogate is trained on data from a single HPR design point, the MegaPower reference. All quantitative results describe this design point only. A different geometry, fuel enrichment or operating envelope would require regenerating the coupled training set and retraining the BNN. The methodology itself, however, is not design-specific: the same workflow of coupled-data generation, BNN training and three-stage probabilistic analysis is directly applicable to other reactor types and other coupled multi-physics systems.</w:t>
      </w:r>
    </w:p>
    <w:p>
      <w:r>
        <w:rPr>
          <w:rFonts w:ascii="Times New Roman" w:hAnsi="Times New Roman" w:eastAsia="微软雅黑"/>
        </w:rPr>
        <w:t>代理仅在单一 HPR 设计点（MegaPower 参考设计）的数据上训练。所有定量结果仅描述该设计点。不同的几何、燃料富集度或运行工况需要重新生成训练集并重训 BNN。但方法本身不依赖于特定设计：耦合数据生成、 BNN 训练与三阶段概率分析的同一工作流可直接应用于其他堆型和其他耦合多物理系统。</w:t>
      </w:r>
    </w:p>
    <w:p>
      <w:r>
        <w:rPr>
          <w:rFonts w:ascii="Times New Roman" w:hAnsi="Times New Roman" w:eastAsia="微软雅黑"/>
        </w:rPr>
        <w:t>The MCMC calibration fixes four parameters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ν) at their true values and calibrates the remaining four. Extending to a full eight-parameter calibration would require additional independent observations to constrain the expanded parameter space. The reported posterior contraction is therefore conditional on this four-parameter scope and should not be directly extrapolated to the unconstrained eight-dimensional case.</w:t>
      </w:r>
    </w:p>
    <w:p>
      <w:r>
        <w:rPr>
          <w:rFonts w:ascii="Times New Roman" w:hAnsi="Times New Roman" w:eastAsia="微软雅黑"/>
        </w:rPr>
        <w:t>MCMC 标定将四个参数（</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、ν）固定在真实值上，对其余四个参数进行标定。扩展到完整八参数标定需要额外的独立观测来约束扩展的参数空间。所报告的后验收缩量以四参数标定为前提，不应直接外推到无约束的八维情形。</w:t>
      </w:r>
    </w:p>
    <w:p>
      <w:r>
        <w:rPr>
          <w:rFonts w:ascii="Times New Roman" w:hAnsi="Times New Roman" w:eastAsia="微软雅黑"/>
        </w:rPr>
        <w:t xml:space="preserve">The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surrogate degrades on out-of-distribution (OOD) feature-tail subsets. On the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tail,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drops to ≈ 0.29 against an in-distribution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of 0.825; stress retains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0.75 across all four tested tails. The Sobol and posterior conclusions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therefore hold only within the training range of the dominant reactivity parameter. Apparent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increases in some OOD subsets are artefacts of total-sum-of-squares inflation in the tail partition and do not reflect genuine extrapolation capability (Appendix A).</w:t>
      </w:r>
    </w:p>
    <w:p>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代理在分布外（OOD）特征尾部子集上退化。在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尾部，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降至约 0.29，分布内整体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为 0.825；应力在所有四个尾部子集上均保持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0.75。因此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 Sobol 与后验结论仅在主控反应性参数的训练范围内成立。部分 OOD 子集中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表观升高是尾部分区总平方和膨胀的伪迹，并不反映真正的外推能力（附录 A）。</w:t>
      </w:r>
    </w:p>
    <w:p>
      <w:r>
        <w:rPr>
          <w:rFonts w:ascii="Times New Roman" w:hAnsi="Times New Roman" w:eastAsia="微软雅黑"/>
        </w:rPr>
        <w:t>All posterior summaries in Section 2.4 are computed on the surrogate side. An independent high-fidelity re-evaluation at the posterior-mean parameter vectors is documented separately as a supplementary consistency check. The present study uses synthetic observations constructed from the high-fidelity solver because no real operational data are available for this design. If experimental or monitoring data become available in the future, the same posterior calibration workflow can ingest real observations directly.</w:t>
      </w:r>
    </w:p>
    <w:p>
      <w:r>
        <w:rPr>
          <w:rFonts w:ascii="Times New Roman" w:hAnsi="Times New Roman" w:eastAsia="微软雅黑"/>
        </w:rPr>
        <w:t>§2.4 的所有后验汇总量均在代理侧计算。在后验均值参数处对耦合求解器的独立高保真重评估作为补充���致性核验另行记录。本研究使用由高保真求解器构造的合成观测，因为该设计尚无真实运行数据。若未来获取实验或监测数据，同一后验标定工作流可直接接入真实观测。</w:t>
      </w:r>
    </w:p>
    <w:p>
      <w:pPr>
        <w:pStyle w:val="Heading1"/>
      </w:pPr>
      <w:r>
        <w:t>4. 方法 / Methods</w:t>
      </w:r>
    </w:p>
    <w:p>
      <w:pPr>
        <w:pStyle w:val="Heading2"/>
      </w:pPr>
      <w:r>
        <w:t>4.1 材料不确定性模型 / Material Uncertainty Model</w:t>
      </w:r>
    </w:p>
    <w:p>
      <w:r>
        <w:rPr>
          <w:rFonts w:ascii="Times New Roman" w:hAnsi="Times New Roman" w:eastAsia="微软雅黑"/>
        </w:rPr>
        <w:t xml:space="preserve">The coupled HPR simulation involves eight material properties of the SS316 monolith, the structural component that simultaneously bears thermal stress and transmits heat between fuel and heat pipes. All eight enter the calculation through the constitutive models for elasticity, thermal expansion and thermal conductivity of this single material. Fuel thermal conductivity, heat-pipe working-fluid properties and other non-monolith parameters are held at their nominal values in the present study because they do not participate in the stress constitutive law and their influence on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mediated primarily through the monolith temperature field, which the eight selected parameters already control. The eight parameters are grouped by physical function into three categories.</w:t>
      </w:r>
    </w:p>
    <w:p>
      <w:r>
        <w:rPr>
          <w:rFonts w:ascii="Times New Roman" w:hAnsi="Times New Roman" w:eastAsia="微软雅黑"/>
        </w:rPr>
        <w:t xml:space="preserve">HPR 耦合仿真涉及 SS316 基体的八个材料性质。基体是同时承受热应力并在燃料与热管之间传导热量的结构构件。全部八个参数通过同一材料的弹性、热膨胀与热传导本构模型进入计算。燃料热导率、热管工质性质等非基体参数在本研究中固定在标称值，因为它们不参与应力本构关系，且对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的影响主要经由基体温度场传递，而基体温度场已被上述八个参数所控制。八个参数按物理功能分为三组。</w:t>
      </w:r>
    </w:p>
    <w:p>
      <w:r>
        <w:rPr>
          <w:rFonts w:ascii="Times New Roman" w:hAnsi="Times New Roman" w:eastAsia="微软雅黑"/>
        </w:rPr>
        <w:t xml:space="preserve">Structural mechanics parameters. The temperature-dependent Young's modulus of the SS316 monolith is modelled as a linear function of temperature,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sets the baseline stiffness, with nominal value 2 × 10¹¹ Pa.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captures its temperature softening, with nominal value −7 × 10⁷ Pa/K. Poisson's ratio ν, nominal 0.31, characterises the multi-axial stress state. These three parameters control stress through the generalised Hooke's law, σ = C(E, ν) · ε, where C is the fourth-order stiffness tensor.</w:t>
      </w:r>
    </w:p>
    <w:p>
      <w:r>
        <w:rPr>
          <w:rFonts w:ascii="Times New Roman" w:hAnsi="Times New Roman" w:eastAsia="微软雅黑"/>
        </w:rPr>
        <w:t xml:space="preserve">结构力学参数。SS316 基体的温度相关弹性模量建模为温度的线性函数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决定基础刚度，标称值 2 × 10¹¹ Pa；</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反映温度软化，标称值 −7 × 10⁷ Pa/K。泊松比 ν 表征多轴应力状态，标称值 0.31。三个参数通过广义胡克定律 σ = C(E, ν) · ε 控制应力，C 为四阶刚度张量。</w:t>
      </w:r>
    </w:p>
    <w:p>
      <w:r>
        <w:rPr>
          <w:rFonts w:ascii="Times New Roman" w:hAnsi="Times New Roman" w:eastAsia="微软雅黑"/>
        </w:rPr>
        <w:t xml:space="preserve">Thermal deformation parameters. The coefficient of thermal expansion is modelled as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the expansion coefficient at the reference condition, with nominal value 1 × 10⁻⁵ K⁻¹.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captures its temperature dependence, with nominal value 5 × 10⁻⁹ K⁻². These two parameters serve a dual role. They govern thermal strain ε_th = α · ΔT, which is the loading source for thermal stress. They also determine the magnitude of core geometric expansion, which is the primary pathway through which material properties affect the neutronic balance.</w:t>
      </w:r>
    </w:p>
    <w:p>
      <w:r>
        <w:rPr>
          <w:rFonts w:ascii="Times New Roman" w:hAnsi="Times New Roman" w:eastAsia="微软雅黑"/>
        </w:rPr>
        <w:t xml:space="preserve">热变形参数。热膨胀系数建模为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为参考条件下的膨胀系数，标称值 1 × 10⁻⁵ K⁻¹；</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为温度依赖性，标称值 5 × 10⁻⁹ K⁻²。这两个参数具有双重角色。其一，控制热应变 ε_th = α · ΔT，即热应力的载荷源；其二，决定堆芯几何膨胀的幅度，亦是材料性质影响中子学平衡的主要路径。</w:t>
      </w:r>
    </w:p>
    <w:p>
      <w:r>
        <w:rPr>
          <w:rFonts w:ascii="Times New Roman" w:hAnsi="Times New Roman" w:eastAsia="微软雅黑"/>
        </w:rPr>
        <w:t xml:space="preserve">SS316 thermal transport parameters. The thermal conductivity of the monolith is modelled as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This form introduces three uncertain inputs. The reference conductivity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has nominal value 23.2 W/(m·K). The reference temperature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has nominal value 923.15 K. The temperature-dependence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has nominal value 1/75 W/(m·K²). Together, these three parameters control the temperature gradient across the monolith, the physical intermediary between fission power deposition and thermal stress. For consistency with the code and data files released with this work, the source names the three quantities SS316_k_ref, SS316_T_ref and SS316_alpha respectively. The physics symbols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are used throughout the manuscript.</w:t>
      </w:r>
    </w:p>
    <w:p>
      <w:r>
        <w:rPr>
          <w:rFonts w:ascii="Times New Roman" w:hAnsi="Times New Roman" w:eastAsia="微软雅黑"/>
        </w:rPr>
        <w:t xml:space="preserve">SS316 热传导参数。基体热导率建模为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)。该形式引入三个不确定输入。参考热导率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标称值 23.2 W/(m·K)；参考温度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标称值 923.15 K；温度依赖系数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标称值 1/75 W/(m·K²)。三者共同决定基体内部温度梯度，即裂变功率沉积与热应力之间的物理中间量。为与本文公开代码与数据保持一致，源代码中三者分别记作 SS316_k_ref、 SS316_T_ref 与 SS316_alpha。正文统一使用物理符号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与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w:t>
      </w:r>
    </w:p>
    <w:p>
      <w:r>
        <w:rPr>
          <w:rFonts w:ascii="Times New Roman" w:hAnsi="Times New Roman" w:eastAsia="微软雅黑"/>
        </w:rPr>
        <w:t>All eight parameters are assigned independent uniform priors with half-width 10% of the nominal design value, θ_k ~ U[0.9 θ_nom,k, 1.1 θ_nom,k]; the priors are summarised in Table 1. The ±10% range is a conventional uncertainty margin for manufactured stainless-steel properties. The same prior distribution is used throughout the workflow: as the sampling distribution in forward UQ (Section 4.4), as the input domain for Sobol analysis (Section 4.5), and as the prior in posterior calibration (Section 4.6).</w:t>
      </w:r>
    </w:p>
    <w:p>
      <w:r>
        <w:rPr>
          <w:rFonts w:ascii="Times New Roman" w:hAnsi="Times New Roman" w:eastAsia="微软雅黑"/>
        </w:rPr>
        <w:t>全部 8 个参数赋予独立均匀先验，半宽为标称值的 10%， θ_k ~ U[0.9 θ_nom,k, 1.1 θ_nom,k]；先验汇总于表 1。±10% 区间是制造级不锈钢性质的常规不确定性裕量。该先验分布在整套工作流中统一使用：在 §4.4 前向 UQ 中作为采样分布，在 §4.5 Sobol 分析中作为输入域，在 §4.6 后验标定中作为先验。</w:t>
      </w:r>
    </w:p>
    <w:p>
      <w:pPr>
        <w:pStyle w:val="Heading2"/>
      </w:pPr>
      <w:r>
        <w:t>4.2 耦合高保真仿真 / Coupled High-Fidelity Simulation</w:t>
      </w:r>
    </w:p>
    <w:p>
      <w:r>
        <w:rPr>
          <w:rFonts w:ascii="Times New Roman" w:hAnsi="Times New Roman" w:eastAsia="微软雅黑"/>
        </w:rPr>
        <w:t xml:space="preserve">The high-fidelity (HF) workflow couples OpenMC Monte Carlo neutronics with the FEniCS finite-element solver through a Picard fixed-point iteration scheme [9]. The iteration starts from the eight material parameters and the reference core geometry. OpenMC then computes the neutron multiplication factor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and the spatially resolved fission power distribution. These quantities are passed to the FEniCS thermo-elastic module, which solves for the temperature field, the thermal expansion displacement and the stress field. The updated geometry and temperature-dependent material cross-sections are then fed back to OpenMC for the next iteration. Convergence is declared when the maximum temperature difference between consecutive iterations falls below 1 K. An under-relaxation factor of 0.1 is applied to stabilise the iteration [9].</w:t>
      </w:r>
    </w:p>
    <w:p>
      <w:r>
        <w:rPr>
          <w:rFonts w:ascii="Times New Roman" w:hAnsi="Times New Roman" w:eastAsia="微软雅黑"/>
        </w:rPr>
        <w:t xml:space="preserve">高保真（HF）工作流通过 Picard 不动点迭代方案耦合 OpenMC 蒙特卡洛中子学与 FEniCS 有限元求解器 [9]。迭代从八个材料参数与参考堆芯几何出发。OpenMC 计算中子增殖因子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与空间分辨的裂变功率分布。上述结果传递给 FEniCS 热弹性模块，求解温度场、热膨胀位移与应力场。更新后的几何与温度相关材料截面反馈回 OpenMC，进入下一轮迭代。当连续迭代间最大温差低于 1 K 时判定收敛。迭代采用 0.1 的亚松弛因子以保证稳定 [9]。</w:t>
      </w:r>
    </w:p>
    <w:p>
      <w:r>
        <w:rPr>
          <w:rFonts w:ascii="Times New Roman" w:hAnsi="Times New Roman" w:eastAsia="微软雅黑"/>
        </w:rPr>
        <w:t>Two fidelity levels are retained from this iteration process. The decoupled single-pass prediction consists of the outputs after the first iteration, before coupling convergence. At this point FEniCS has received the initial-geometry power distribution from OpenMC and has produced thermal-structural outputs without feedback. The coupled steady-state prediction consists of the outputs after full convergence. Comparing these two levels isolates the effect of multi-physics coupling on the output distributions. The BNN is trained to predict both levels simultaneously.</w:t>
      </w:r>
    </w:p>
    <w:p>
      <w:r>
        <w:rPr>
          <w:rFonts w:ascii="Times New Roman" w:hAnsi="Times New Roman" w:eastAsia="微软雅黑"/>
        </w:rPr>
        <w:t>迭代过程保留两个精度层次。解耦单轮预测为耦合收敛前的首轮输出，此时 FEniCS 接收 OpenMC 的初始几何功率分布，产生无反馈的热力输出。耦合稳态预测为完全收敛后的输出。比较两者可分离多物理耦合对输出分布的影响。BNN 同时预测两个层次。</w:t>
      </w:r>
    </w:p>
    <w:p>
      <w:r>
        <w:rPr>
          <w:rFonts w:ascii="Times New Roman" w:hAnsi="Times New Roman" w:eastAsia="微软雅黑"/>
        </w:rPr>
        <w:t xml:space="preserve">Each HF evaluation produces 15 scalar outputs. The 7 decoupled outputs are average fuel temperature, peak fuel temperature, peak monolith temperature, peak global stress, monolith mean temperature, core height after expansion and wall expansion. The 8 coupled outputs add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to the same 7 thermal-structural quantities after convergence. The posterior likelihood of Section 4.6 uses 5 primary outputs: coupled peak global stress, coupled peak fuel temperature, coupled peak monolith temperature, coupled wall expansion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 xml:space="preserve">每次 HF 评估产生 15 个标量输出。7 个解耦输出包括平均燃料温度、峰值燃料温度、峰值基体温度、峰值全局应力、基体均温、膨胀后堆芯高度与壁面膨胀量。8 个耦合输出在收敛后于上述 7 个热力量基础上加入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§4.6 后验似然使用 5 个主输出：耦合峰值全局应力、耦合峰值燃料温度、耦合峰值基体温度、耦合壁面膨胀量与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A dataset of n = 2900 samples was generated by Latin hypercube sampling over the 8-dimensional prior. The samples were split into training, validation and test sets with a fixed random seed (seed = 2026): 2029 training (~70%), 436 validation (~15%) and 435 test (~15%). This split is reused across all experiments for reproducibility. The BNN maps directly from the 8 input parameters to the 15 scalar outputs without resolving intermediate coupling fields.</w:t>
      </w:r>
    </w:p>
    <w:p>
      <w:r>
        <w:rPr>
          <w:rFonts w:ascii="Times New Roman" w:hAnsi="Times New Roman" w:eastAsia="微软雅黑"/>
        </w:rPr>
        <w:t>通过拉丁超立方采样在 8 维先验空间上生成 n = 2900 个样本。样本以固定随机种子（seed = 2026）划分为训练集 2029 个（约 70%）、验证集 436 个（约 15%）与测试集 435 个（约 15%）。该划分在所有实验中复用以保证可重复性。BNN 直接从 8 个输入参数映射到 15 个标量输出，不解析中间耦合场。</w:t>
      </w:r>
    </w:p>
    <w:p>
      <w:pPr>
        <w:pStyle w:val="Heading2"/>
      </w:pPr>
      <w:r>
        <w:t>4.3 贝叶斯神经网络代理 / Bayesian Neural Network Surrogate</w:t>
      </w:r>
    </w:p>
    <w:p>
      <w:r>
        <w:rPr>
          <w:rFonts w:ascii="Times New Roman" w:hAnsi="Times New Roman" w:eastAsia="微软雅黑"/>
        </w:rPr>
        <w:t>The surrogate is a Bayesian neural network (BNN). A deterministic network returns a single point prediction. A BNN, by contrast, places a prior distribution over the network weights. After training, it represents knowledge of the input–output map through a posterior distribution over those weights. The resulting posterior predictive distribution is the shared basis on which forward UQ, sensitivity attribution and MCMC calibration all operate. The predictive variance can be decomposed into epistemic (weight-uncertainty) and aleatoric (observation-noise) components; that decomposition is reported in the Appendix as a diagnostic.</w:t>
      </w:r>
    </w:p>
    <w:p>
      <w:r>
        <w:rPr>
          <w:rFonts w:ascii="Times New Roman" w:hAnsi="Times New Roman" w:eastAsia="微软雅黑"/>
        </w:rPr>
        <w:t>代理模型为贝叶斯神经网络（BNN）。确定性网络返回单点预测；BNN 则对网络权重引入先验分布。训练完成后，它通过权重的后验分布来表示输入–输出映射的知识。由此得到的后验预测分布是前向 UQ、敏感性归因与 MCMC 标定的共享基础。预测方差可分解为认识论（权重不确定性）与偶然（观测噪声）分量，该分解在附录中作为诊断信息报告。</w:t>
      </w:r>
    </w:p>
    <w:p>
      <w:r>
        <w:rPr>
          <w:rFonts w:ascii="Times New Roman" w:hAnsi="Times New Roman" w:eastAsia="微软雅黑"/>
        </w:rPr>
        <w:t>The BNN uses a fully connected backbone with depth 3–8 layers, width 64–256 per layer and SiLU activation. The final layer exposes two output heads. The mean head produces μ ∈ ℝ¹⁵. The log-variance head produces log σ²_obs ∈ ℝ¹⁵, clamped to [−20, 5] for numerical stability, and models aleatoric observation noise. Before training, the 8 input parameters and 15 output targets are standardised to zero mean and unit variance using training-set statistics.</w:t>
      </w:r>
    </w:p>
    <w:p>
      <w:r>
        <w:rPr>
          <w:rFonts w:ascii="Times New Roman" w:hAnsi="Times New Roman" w:eastAsia="微软雅黑"/>
        </w:rPr>
        <w:t>BNN 采用全连接主干，深度 3–8 层，每层宽度 64–256，SiLU 激活。最末层并列两个输出头。均值头输出 μ ∈ ℝ¹⁵；对数方差头输出 log σ²_obs ∈ ℝ¹⁵，限幅至 [−20, 5] 以保证数值稳定，用于建模偶然观测噪声。训练前，使用训练集统计量将 8 个输入参数与 15 个输出目标标准化为零均值、单位方差。</w:t>
      </w:r>
    </w:p>
    <w:p>
      <w:r>
        <w:rPr>
          <w:rFonts w:ascii="Times New Roman" w:hAnsi="Times New Roman" w:eastAsia="微软雅黑"/>
        </w:rPr>
        <w:t>Let f_w denote the network with weights w. The model assumes a Gaussian likelihood per output channel,</w:t>
      </w:r>
    </w:p>
    <w:p>
      <w:pPr>
        <w:spacing w:before="80" w:after="80"/>
        <w:jc w:val="center"/>
      </w:pPr>
      <m:oMathPara>
        <m:oMath>
          <m:r>
            <m:rPr>
              <m:sty m:val="pi"/>
            </m:rPr>
            <m:t xml:space="preserve">y_j | θ, w ~ N(μ_{j,w}(θ), σ²_{obs,j,w}(θ)),   j = 1, …, 15,</m:t>
          </m:r>
        </m:oMath>
      </m:oMathPara>
    </w:p>
    <w:p>
      <w:r>
        <w:rPr>
          <w:rFonts w:ascii="Times New Roman" w:hAnsi="Times New Roman" w:eastAsia="微软雅黑"/>
        </w:rPr>
        <w:t xml:space="preserve">with an isotropic Gaussian weight prior p(w) = N(0, σ²_p I). The prior scale </w:t>
      </w:r>
      <w:r>
        <w:rPr>
          <w:rFonts w:ascii="Times New Roman" w:hAnsi="Times New Roman" w:eastAsia="微软雅黑"/>
          <w:i w:val="0"/>
        </w:rPr>
        <w:t>σ</w:t>
      </w:r>
      <w:r>
        <w:rPr>
          <w:rFonts w:ascii="Times New Roman" w:hAnsi="Times New Roman" w:eastAsia="微软雅黑"/>
          <w:vertAlign w:val="subscript"/>
        </w:rPr>
        <w:t>p</w:t>
      </w:r>
      <w:r>
        <w:rPr>
          <w:rFonts w:ascii="Times New Roman" w:hAnsi="Times New Roman" w:eastAsia="微软雅黑"/>
        </w:rPr>
        <w:t xml:space="preserve"> is treated as a hyperparameter; the default is 1.0 and the value is Optuna-searchable. Training then produces an approximate posterior q(w) ≈ p(w | D) over the weights, where D denotes the training set. The posterior predictive distribution at a new input θ is obtained by marginalising over q(w):</w:t>
      </w:r>
    </w:p>
    <w:p>
      <w:pPr>
        <w:spacing w:before="80" w:after="80"/>
        <w:jc w:val="center"/>
      </w:pPr>
      <m:oMathPara>
        <m:oMath>
          <m:r>
            <m:rPr>
              <m:sty m:val="pi"/>
            </m:rPr>
            <m:t xml:space="preserve">p(y | θ, D) = ∫ p(y | θ, w) q(w) dw</m:t>
          </m:r>
        </m:oMath>
      </m:oMathPara>
    </w:p>
    <w:p>
      <w:pPr>
        <w:spacing w:before="80" w:after="80"/>
        <w:jc w:val="center"/>
      </w:pPr>
      <m:oMathPara>
        <m:oMath>
          <m:r>
            <m:rPr>
              <m:sty m:val="pi"/>
            </m:rPr>
            <m:t xml:space="preserve">≈ (1/M) Σ_{m=1..M} p(y | θ, w^(m)),   w^(m) ~ q(w).</m:t>
          </m:r>
        </m:oMath>
      </m:oMathPara>
    </w:p>
    <w:p>
      <w:r>
        <w:rPr>
          <w:rFonts w:ascii="Times New Roman" w:hAnsi="Times New Roman" w:eastAsia="微软雅黑"/>
        </w:rPr>
        <w:t>记网络为 f_w，权重为 w。模型对每个输出通道假设高斯似然，</w:t>
      </w:r>
    </w:p>
    <w:p>
      <w:pPr>
        <w:spacing w:before="80" w:after="80"/>
        <w:jc w:val="center"/>
      </w:pPr>
      <m:oMathPara>
        <m:oMath>
          <m:r>
            <m:rPr>
              <m:sty m:val="pi"/>
            </m:rPr>
            <m:t xml:space="preserve">y_j | θ, w ~ N(μ_{j,w}(θ), σ²_{obs,j,w}(θ))，j = 1, …, 15，</m:t>
          </m:r>
        </m:oMath>
      </m:oMathPara>
    </w:p>
    <w:p>
      <w:r>
        <w:rPr>
          <w:rFonts w:ascii="Times New Roman" w:hAnsi="Times New Roman" w:eastAsia="微软雅黑"/>
        </w:rPr>
        <w:t xml:space="preserve">权重先验为各向同性高斯 p(w) = N(0, σ²_p I)。先验尺度 </w:t>
      </w:r>
      <w:r>
        <w:rPr>
          <w:rFonts w:ascii="Times New Roman" w:hAnsi="Times New Roman" w:eastAsia="微软雅黑"/>
          <w:i w:val="0"/>
        </w:rPr>
        <w:t>σ</w:t>
      </w:r>
      <w:r>
        <w:rPr>
          <w:rFonts w:ascii="Times New Roman" w:hAnsi="Times New Roman" w:eastAsia="微软雅黑"/>
          <w:vertAlign w:val="subscript"/>
        </w:rPr>
        <w:t>p</w:t>
      </w:r>
      <w:r>
        <w:rPr>
          <w:rFonts w:ascii="Times New Roman" w:hAnsi="Times New Roman" w:eastAsia="微软雅黑"/>
        </w:rPr>
        <w:t xml:space="preserve"> 作为超参处理，默认值 1.0，并可经 Optuna 搜索。训练得到权重的近似后验 q(w) ≈ p(w | D)，其中 D 为训练集。新输入 θ 处的后验预测分布通过对 q(w) 边缘化得到：</w:t>
      </w:r>
    </w:p>
    <w:p>
      <w:pPr>
        <w:spacing w:before="80" w:after="80"/>
        <w:jc w:val="center"/>
      </w:pPr>
      <m:oMathPara>
        <m:oMath>
          <m:r>
            <m:rPr>
              <m:sty m:val="pi"/>
            </m:rPr>
            <m:t xml:space="preserve">p(y | θ, D) = ∫ p(y | θ, w) q(w) dw</m:t>
          </m:r>
        </m:oMath>
      </m:oMathPara>
    </w:p>
    <w:p>
      <w:pPr>
        <w:spacing w:before="80" w:after="80"/>
        <w:jc w:val="center"/>
      </w:pPr>
      <m:oMathPara>
        <m:oMath>
          <m:r>
            <m:rPr>
              <m:sty m:val="pi"/>
            </m:rPr>
            <m:t xml:space="preserve">≈ (1/M) Σ_{m=1..M} p(y | θ, w^(m))，w^(m) ~ q(w)。</m:t>
          </m:r>
        </m:oMath>
      </m:oMathPara>
    </w:p>
    <w:p>
      <w:r>
        <w:rPr>
          <w:rFonts w:ascii="Times New Roman" w:hAnsi="Times New Roman" w:eastAsia="微软雅黑"/>
        </w:rPr>
        <w:t>The exact posterior p(w | D) is intractable because marginalising the likelihood over the high-dimensional weight space has no closed form. The BNN is therefore trained by mean-field variational inference (MFVI) in the Bayes-by-Backprop formulation [10]. MFVI approximates the true posterior by a factorised distribution q(w) whose parameters are optimised to minimise KL[q ‖ p(w | D)]. Each weight is endowed with an independent Gaussian variational posterior, q(w) = Π_ℓ N(μ_ℓ, softplus(ρ_ℓ)²). The variational parameters {μ_ℓ, ρ_ℓ} are optimised by maximising the ELBO with the reparameterisation gradient. The training objective is the negative evidence lower bound,</w:t>
      </w:r>
    </w:p>
    <w:p>
      <w:pPr>
        <w:spacing w:before="80" w:after="80"/>
        <w:jc w:val="center"/>
      </w:pPr>
      <m:oMathPara>
        <m:oMath>
          <m:r>
            <m:rPr>
              <m:sty m:val="pi"/>
            </m:rPr>
            <m:t xml:space="preserve">L(φ) = − E_{q_φ(w)}[log p(D | w)] + KL[q_φ(w) ‖ p(w)],</m:t>
          </m:r>
        </m:oMath>
      </m:oMathPara>
    </w:p>
    <w:p>
      <w:r>
        <w:rPr>
          <w:rFonts w:ascii="Times New Roman" w:hAnsi="Times New Roman" w:eastAsia="微软雅黑"/>
        </w:rPr>
        <w:t>where φ collects the variational parameters. The first term is a heteroscedastic Gaussian negative log-likelihood over the training set. The second term is the Kullback–Leibler divergence between the variational posterior and the prior; it regularises q(w) toward the prior and prevents overfitting to the training set. A KL annealing schedule is applied: the KL weight is ramped linearly from zero to one over the first fraction of training epochs, so that the network first learns a good mean-field fit to the data before the prior penalty takes full effect. Without this warm-up, the KL term can collapse the variational posterior to the prior before the data-fit term has converged, resulting in underfitting.</w:t>
      </w:r>
    </w:p>
    <w:p>
      <w:r>
        <w:rPr>
          <w:rFonts w:ascii="Times New Roman" w:hAnsi="Times New Roman" w:eastAsia="微软雅黑"/>
        </w:rPr>
        <w:t>精确后验 p(w | D) 不可解析，因为在高维权重空间上对似然求边缘化无封闭形式。因此 BNN 采用 Bayes-by-Backprop 形式的 mean-field 变分推断（MFVI）[10]。MFVI 以一个因式化分布 q(w) 逼近真实后验，通过最小化 KL[q ‖ p(w | D)] 优化其参数。每个权重配备独立的高斯变分后验 q(w) = Π_ℓ N(μ_ℓ, softplus(ρ_ℓ)²)。变分参数 {μ_ℓ, ρ_ℓ} 通过最大化 ELBO 并使用重参数化梯度优化。训练目标为负证据下界，</w:t>
      </w:r>
    </w:p>
    <w:p>
      <w:pPr>
        <w:spacing w:before="80" w:after="80"/>
        <w:jc w:val="center"/>
      </w:pPr>
      <m:oMathPara>
        <m:oMath>
          <m:r>
            <m:rPr>
              <m:sty m:val="pi"/>
            </m:rPr>
            <m:t xml:space="preserve">L(φ) = − E_{q_φ(w)}[log p(D | w)] + KL[q_φ(w) ‖ p(w)]，</m:t>
          </m:r>
        </m:oMath>
      </m:oMathPara>
    </w:p>
    <w:p>
      <w:r>
        <w:rPr>
          <w:rFonts w:ascii="Times New Roman" w:hAnsi="Times New Roman" w:eastAsia="微软雅黑"/>
        </w:rPr>
        <w:t>其中 φ 为变分参数。第一项为训练集上的异方差高斯负对数似然。第二项为变分后验与先验之间的 KL 散度，起正则化作用，防止对训练集过拟合。训练采用 KL 退火方案：KL 权重在前若干 epoch 内从零线性升至一，使网络先学到良好的数据拟合，再让先验惩罚全力介入。若缺少这一预热，KL 项可能在数据拟合尚未收敛时就将变分后验压向先验，导致欠拟合。</w:t>
      </w:r>
    </w:p>
    <w:p>
      <w:r>
        <w:rPr>
          <w:rFonts w:ascii="Times New Roman" w:hAnsi="Times New Roman" w:eastAsia="微软雅黑"/>
        </w:rPr>
        <w:t>At inference, M = 50 weight samples w^(m) ~ q(w) are drawn. Sobol analysis uses M = 30 and the MCMC likelihood uses M = 20, both for computational efficiency, since each of those analyses already carries its own Monte Carlo averaging. The posterior predictive mean and variance for output j at input θ are</w:t>
      </w:r>
    </w:p>
    <w:p>
      <w:pPr>
        <w:spacing w:before="80" w:after="80"/>
        <w:jc w:val="center"/>
      </w:pPr>
      <m:oMathPara>
        <m:oMath>
          <m:r>
            <m:rPr>
              <m:sty m:val="pi"/>
            </m:rPr>
            <m:t xml:space="preserve">μ̂_j(θ) = (1/M) Σ_m μ_{j, w^(m)}(θ),</m:t>
          </m:r>
        </m:oMath>
      </m:oMathPara>
    </w:p>
    <w:p>
      <w:pPr>
        <w:spacing w:before="80" w:after="80"/>
        <w:jc w:val="center"/>
      </w:pPr>
      <m:oMathPara>
        <m:oMath>
          <m:r>
            <m:rPr>
              <m:sty m:val="pi"/>
            </m:rPr>
            <m:t xml:space="preserve">Var̂_j(θ) = (1/M) Σ_m σ²_{obs,j,w^(m)}(θ)               [observation-noise]</m:t>
          </m:r>
        </m:oMath>
      </m:oMathPara>
    </w:p>
    <w:p>
      <w:pPr>
        <w:spacing w:before="80" w:after="80"/>
        <w:jc w:val="center"/>
      </w:pPr>
      <m:oMathPara>
        <m:oMath>
          <m:r>
            <m:rPr>
              <m:sty m:val="pi"/>
            </m:rPr>
            <m:t xml:space="preserve">+ (1/M) Σ_m (μ_{j,w^(m)}(θ) − μ̂_j(θ))²        [weight-uncertainty].</m:t>
          </m:r>
        </m:oMath>
      </m:oMathPara>
    </w:p>
    <w:p>
      <w:r>
        <w:rPr>
          <w:rFonts w:ascii="Times New Roman" w:hAnsi="Times New Roman" w:eastAsia="微软雅黑"/>
        </w:rPr>
        <w:t>The 90% predictive interval is constructed from the empirical 5th and 95th percentiles of the M predictive draws per output. The two variance terms provide an aleatoric/epistemic decomposition reported in the Appendix.</w:t>
      </w:r>
    </w:p>
    <w:p>
      <w:r>
        <w:rPr>
          <w:rFonts w:ascii="Times New Roman" w:hAnsi="Times New Roman" w:eastAsia="微软雅黑"/>
        </w:rPr>
        <w:t>推断时抽取 M = 50 个权重样本 w^(m) ~ q(w)。Sobol 分析使用 M = 30，MCMC 似然使用 M = 20，皆为兼顾效率，且两者本身已含大量蒙特卡洛平均。输入 θ 处输出 j 的后验预测均值与方差为</w:t>
      </w:r>
    </w:p>
    <w:p>
      <w:pPr>
        <w:spacing w:before="80" w:after="80"/>
        <w:jc w:val="center"/>
      </w:pPr>
      <m:oMathPara>
        <m:oMath>
          <m:r>
            <m:rPr>
              <m:sty m:val="pi"/>
            </m:rPr>
            <m:t xml:space="preserve">μ̂_j(θ) = (1/M) Σ_m μ_{j, w^(m)}(θ)，</m:t>
          </m:r>
        </m:oMath>
      </m:oMathPara>
    </w:p>
    <w:p>
      <w:pPr>
        <w:spacing w:before="80" w:after="80"/>
        <w:jc w:val="center"/>
      </w:pPr>
      <m:oMathPara>
        <m:oMath>
          <m:r>
            <m:rPr>
              <m:sty m:val="pi"/>
            </m:rPr>
            <m:t xml:space="preserve">Var̂_j(θ) = (1/M) Σ_m σ²_{obs,j,w^(m)}(θ)               [观测噪声]</m:t>
          </m:r>
        </m:oMath>
      </m:oMathPara>
    </w:p>
    <w:p>
      <w:pPr>
        <w:spacing w:before="80" w:after="80"/>
        <w:jc w:val="center"/>
      </w:pPr>
      <m:oMathPara>
        <m:oMath>
          <m:r>
            <m:rPr>
              <m:sty m:val="pi"/>
            </m:rPr>
            <m:t xml:space="preserve">+ (1/M) Σ_m (μ_{j,w^(m)}(θ) − μ̂_j(θ))²        [权重不确定性]。</m:t>
          </m:r>
        </m:oMath>
      </m:oMathPara>
    </w:p>
    <w:p>
      <w:r>
        <w:rPr>
          <w:rFonts w:ascii="Times New Roman" w:hAnsi="Times New Roman" w:eastAsia="微软雅黑"/>
        </w:rPr>
        <w:t>90% 预测区间由每个输出的 M 个预测样本的第 5–95 百分位得到。方差中两项给出偶然/认识论分解，在附录中作为诊断报告。</w:t>
      </w:r>
    </w:p>
    <w:p>
      <w:r>
        <w:rPr>
          <w:rFonts w:ascii="Times New Roman" w:hAnsi="Times New Roman" w:eastAsia="微软雅黑"/>
        </w:rPr>
        <w:t xml:space="preserve">Hyperparameters were independently optimised via Optuna using a TPE sampler with median pruning. The search space included depth (3–8 layers), width (64–256), learning rate (10⁻⁴–3 × 10⁻³), batch size {32, 64, 128}, gradient clipping (0.5–5.0), the prior scale </w:t>
      </w:r>
      <w:r>
        <w:rPr>
          <w:rFonts w:ascii="Times New Roman" w:hAnsi="Times New Roman" w:eastAsia="微软雅黑"/>
          <w:i w:val="0"/>
        </w:rPr>
        <w:t>σ</w:t>
      </w:r>
      <w:r>
        <w:rPr>
          <w:rFonts w:ascii="Times New Roman" w:hAnsi="Times New Roman" w:eastAsia="微软雅黑"/>
          <w:vertAlign w:val="subscript"/>
        </w:rPr>
        <w:t>p</w:t>
      </w:r>
      <w:r>
        <w:rPr>
          <w:rFonts w:ascii="Times New Roman" w:hAnsi="Times New Roman" w:eastAsia="微软雅黑"/>
        </w:rPr>
        <w:t>, the initial variational posterior scale and the KL annealing schedule. Training ran for up to 300 epochs with early stopping on validation ELBO; the early-stopping patience was 25–30 epochs and the minimum improvement was 10⁻⁶. The final checkpoint was selected as the trial with the lowest validation posterior-predictive NLL. All models used the Adam optimiser and Xavier uniform initialisation of the variational mean parameters.</w:t>
      </w:r>
    </w:p>
    <w:p>
      <w:r>
        <w:rPr>
          <w:rFonts w:ascii="Times New Roman" w:hAnsi="Times New Roman" w:eastAsia="微软雅黑"/>
        </w:rPr>
        <w:t xml:space="preserve">超参数通过 Optuna 使用 TPE 采样器与中位数剪枝独立优化。搜索空间包括深度（3–8 层）、宽度（64–256）、学习率（10⁻⁴–3 × 10⁻³）、批大小 {32, 64, 128}、梯度裁剪（0.5–5.0）、先验尺度 </w:t>
      </w:r>
      <w:r>
        <w:rPr>
          <w:rFonts w:ascii="Times New Roman" w:hAnsi="Times New Roman" w:eastAsia="微软雅黑"/>
          <w:i w:val="0"/>
        </w:rPr>
        <w:t>σ</w:t>
      </w:r>
      <w:r>
        <w:rPr>
          <w:rFonts w:ascii="Times New Roman" w:hAnsi="Times New Roman" w:eastAsia="微软雅黑"/>
          <w:vertAlign w:val="subscript"/>
        </w:rPr>
        <w:t>p</w:t>
      </w:r>
      <w:r>
        <w:rPr>
          <w:rFonts w:ascii="Times New Roman" w:hAnsi="Times New Roman" w:eastAsia="微软雅黑"/>
        </w:rPr>
        <w:t>、变分后验初始尺度以及 KL 退火方案。训练至多 300 个 epoch，基于验证集 ELBO 早停；早停耐心为 25–30 epoch，最小改进 10⁻⁶。最终检查点选取验证集后验预测 NLL 最低的试验。所有模型使用 Adam 优化器，并以 Xavier 均匀分布初始化变分均值参数。</w:t>
      </w:r>
    </w:p>
    <w:p>
      <w:pPr>
        <w:pStyle w:val="Heading2"/>
      </w:pPr>
      <w:r>
        <w:t>4.4 前向不确定性传播方法 / Forward UQ Methodology</w:t>
      </w:r>
    </w:p>
    <w:p>
      <w:r>
        <w:rPr>
          <w:rFonts w:ascii="Times New Roman" w:hAnsi="Times New Roman" w:eastAsia="微软雅黑"/>
        </w:rPr>
        <w:t>Forward uncertainty propagation quantifies how prior parameter uncertainty maps to output uncertainty through the BNN. We draw 20,000 samples from the joint prior of Section 4.1 by Latin hypercube sampling (LHS). LHS is preferred over simple random sampling because it guarantees even marginal coverage of each input dimension, reducing the sample size needed to capture tail behaviour in an 8-dimensional space. The sample size N = 20,000 was chosen to ensure stable estimation of the output percentiles reported in Section 2.2; at this count, the standard error of the empirical 5th and 95th percentiles is negligible relative to the inter-percentile range. For each sample θ_i, the BNN returns the posterior predictive mean μ̂(θ_i) for all 15 outputs, marginalising over M weight samples. The empirical distribution of {μ̂(θ_i)}_{i=1}^{20000} constitutes the prior-predictive uncertainty propagation.</w:t>
      </w:r>
    </w:p>
    <w:p>
      <w:r>
        <w:rPr>
          <w:rFonts w:ascii="Times New Roman" w:hAnsi="Times New Roman" w:eastAsia="微软雅黑"/>
        </w:rPr>
        <w:t>前向不确定性传播量化先验参数不确定性如何通过 BNN 映射到输出不确定性。通过拉丁超立方采样（LHS）从 §4.1 的联合先验中抽取 20,000 个样本。采用 LHS 而非简单随机抽样，是因为 LHS 保证每个输入维度上的均匀边际覆盖，在 8 维空间中以较少样本即可捕获尾部行为。选取 N = 20,000 以确保 §2.2 中报告的输出百分位估计稳定；在此样本量下，经验第 5 与第 95 百分位的标准误差相对分位距可忽略。对每个 θ_i，BNN 返回 15 个输出的后验预测均值 μ̂(θ_i)，对 M 个权重样本边缘化。{μ̂(θ_i)} 的经验分布即构成先验预测不确定性传播。</w:t>
      </w:r>
    </w:p>
    <w:p>
      <w:r>
        <w:rPr>
          <w:rFonts w:ascii="Times New Roman" w:hAnsi="Times New Roman" w:eastAsia="微软雅黑"/>
        </w:rPr>
        <w:t>This protocol takes y = μ̂(θ) = E_w[μ_w(θ)] as the response. It deliberately isolates parametric uncertainty from the BNN's combined epistemic and aleatoric predictive spread. The BNN's posterior predictive variance already models both the observation-noise and the weight-uncertainty contributions. Including that variance in the forward propagation, in the form y = μ̂(θ) + σ̂(θ) · ε with ε ~ N(0,1), would mix the parametric prior with the surrogate's own uncertainty. The main-text results therefore report the μ̂-only protocol, so that all variance in the output distribution is attributable to input-parameter variation. The predictive variant is reported in the Appendix as a consistency check. It yields broader distributions but preserves the same qualitative conclusions.</w:t>
      </w:r>
    </w:p>
    <w:p>
      <w:r>
        <w:rPr>
          <w:rFonts w:ascii="Times New Roman" w:hAnsi="Times New Roman" w:eastAsia="微软雅黑"/>
        </w:rPr>
        <w:t>该协议以 y = μ̂(θ) = E_w[μ_w(θ)] 为响应，有意将参数不确定性与 BNN 自身的认识论加偶然预测展宽分离。BNN 后验预测方差已同时建模观测噪声与权重不确定性。若在前向传播中包含该方差，即 y = μ̂(θ) + σ̂(θ) · ε， ε ~ N(0,1)，则会把参数先验与代理自身不确定性混合在一起。因此正文采用 μ̂-only 协议，使输出分布中的所有方差可归因于输入参数变异。带预测方差的变体在附录中作为一致性核验报告。该变体产生更宽的分布，但保留相同的定性结论。</w:t>
      </w:r>
    </w:p>
    <w:p>
      <w:r>
        <w:rPr>
          <w:rFonts w:ascii="Times New Roman" w:hAnsi="Times New Roman" w:eastAsia="微软雅黑"/>
        </w:rPr>
        <w:t>Summary statistics of {μ̂(θ_i)} are reported in Section 2.2 for the primary outputs, including the mean, the standard deviation and selected percentiles. The role of forward UQ in this work is distribution-level characterisation: how multi-physics coupling reshapes the output distribution relative to the decoupled prediction. Threshold-based exceedance statistics are not part of the main-text analysis.</w:t>
      </w:r>
    </w:p>
    <w:p>
      <w:r>
        <w:rPr>
          <w:rFonts w:ascii="Times New Roman" w:hAnsi="Times New Roman" w:eastAsia="微软雅黑"/>
        </w:rPr>
        <w:t>§2.2 报告 {μ̂(θ_i)} 的汇总统计量，包括均值、标准差与若干分位数。本文前向 UQ 的角色是分布级表征，即多物理耦合相对解耦预测如何重塑输出分布。基于阈值的超阈统计不在正文展开。</w:t>
      </w:r>
    </w:p>
    <w:p>
      <w:pPr>
        <w:pStyle w:val="Heading2"/>
      </w:pPr>
      <w:r>
        <w:t>4.5 Sobol 敏感性分析方法 / Sobol Sensitivity Methodology</w:t>
      </w:r>
    </w:p>
    <w:p>
      <w:r>
        <w:rPr>
          <w:rFonts w:ascii="Times New Roman" w:hAnsi="Times New Roman" w:eastAsia="微软雅黑"/>
        </w:rPr>
        <w:t>Variance-based global sensitivity analysis is built on the Sobol decomposition of a square-integrable output Y = μ̂(θ) of independent inputs θ = (θ_1, …, θ_d):</w:t>
      </w:r>
    </w:p>
    <w:p>
      <w:pPr>
        <w:spacing w:before="80" w:after="80"/>
        <w:jc w:val="center"/>
      </w:pPr>
      <m:oMathPara>
        <m:oMath>
          <m:r>
            <m:rPr>
              <m:sty m:val="pi"/>
            </m:rPr>
            <m:t xml:space="preserve">Var(Y) = Σ_i V_i + Σ_{i&lt;j} V_{ij} + … + V_{1…d},</m:t>
          </m:r>
        </m:oMath>
      </m:oMathPara>
    </w:p>
    <w:p>
      <w:r>
        <w:rPr>
          <w:rFonts w:ascii="Times New Roman" w:hAnsi="Times New Roman" w:eastAsia="微软雅黑"/>
        </w:rPr>
        <w:t xml:space="preserve">where </w:t>
      </w:r>
      <w:r>
        <w:rPr>
          <w:rFonts w:ascii="Times New Roman" w:hAnsi="Times New Roman" w:eastAsia="微软雅黑"/>
          <w:i/>
        </w:rPr>
        <w:t>V</w:t>
      </w:r>
      <w:r>
        <w:rPr>
          <w:rFonts w:ascii="Times New Roman" w:hAnsi="Times New Roman" w:eastAsia="微软雅黑"/>
          <w:vertAlign w:val="subscript"/>
        </w:rPr>
        <w:t>i</w:t>
      </w:r>
      <w:r>
        <w:rPr>
          <w:rFonts w:ascii="Times New Roman" w:hAnsi="Times New Roman" w:eastAsia="微软雅黑"/>
        </w:rPr>
        <w:t xml:space="preserve"> = Var_{θ_i}(E[Y | θ_i]) is the main-effect variance of input i and the higher-order terms collect pairwise and multi-way interactions. The first-order and total-order Sobol indices are</w:t>
      </w:r>
    </w:p>
    <w:p>
      <w:pPr>
        <w:spacing w:before="80" w:after="80"/>
        <w:jc w:val="center"/>
      </w:pPr>
      <m:oMathPara>
        <m:oMath>
          <m:r>
            <m:rPr>
              <m:sty m:val="pi"/>
            </m:rPr>
            <m:t xml:space="preserve">S_i = V_i / Var(Y),   S_{T,i} = 1 − Var_{θ_{~i}}(E[Y | θ_{~i}]) / Var(Y).</m:t>
          </m:r>
        </m:oMath>
      </m:oMathPara>
    </w:p>
    <w:p>
      <w:r>
        <w:rPr>
          <w:rFonts w:ascii="Times New Roman" w:hAnsi="Times New Roman" w:eastAsia="微软雅黑"/>
          <w:i/>
        </w:rPr>
        <w:t>S</w:t>
      </w:r>
      <w:r>
        <w:rPr>
          <w:rFonts w:ascii="Times New Roman" w:hAnsi="Times New Roman" w:eastAsia="微软雅黑"/>
          <w:vertAlign w:val="subscript"/>
        </w:rPr>
        <w:t>i</w:t>
      </w:r>
      <w:r>
        <w:rPr>
          <w:rFonts w:ascii="Times New Roman" w:hAnsi="Times New Roman" w:eastAsia="微软雅黑"/>
        </w:rPr>
        <w:t xml:space="preserve"> measures the fraction of output variance attributable to input i alone; </w:t>
      </w:r>
      <w:r>
        <w:rPr>
          <w:rFonts w:ascii="Times New Roman" w:hAnsi="Times New Roman" w:eastAsia="微软雅黑"/>
          <w:i/>
        </w:rPr>
        <w:t>S</w:t>
      </w:r>
      <w:r>
        <w:rPr>
          <w:rFonts w:ascii="Times New Roman" w:hAnsi="Times New Roman" w:eastAsia="微软雅黑"/>
          <w:vertAlign w:val="subscript"/>
        </w:rPr>
        <w:t>T,i</w:t>
      </w:r>
      <w:r>
        <w:rPr>
          <w:rFonts w:ascii="Times New Roman" w:hAnsi="Times New Roman" w:eastAsia="微软雅黑"/>
        </w:rPr>
        <w:t xml:space="preserve"> collects all effects involving input i, including interactions. A large gap between </w:t>
      </w:r>
      <w:r>
        <w:rPr>
          <w:rFonts w:ascii="Times New Roman" w:hAnsi="Times New Roman" w:eastAsia="微软雅黑"/>
          <w:i/>
        </w:rPr>
        <w:t>S</w:t>
      </w:r>
      <w:r>
        <w:rPr>
          <w:rFonts w:ascii="Times New Roman" w:hAnsi="Times New Roman" w:eastAsia="微软雅黑"/>
          <w:vertAlign w:val="subscript"/>
        </w:rPr>
        <w:t>T,i</w:t>
      </w:r>
      <w:r>
        <w:rPr>
          <w:rFonts w:ascii="Times New Roman" w:hAnsi="Times New Roman" w:eastAsia="微软雅黑"/>
        </w:rPr>
        <w:t xml:space="preserve"> and </w:t>
      </w:r>
      <w:r>
        <w:rPr>
          <w:rFonts w:ascii="Times New Roman" w:hAnsi="Times New Roman" w:eastAsia="微软雅黑"/>
          <w:i/>
        </w:rPr>
        <w:t>S</w:t>
      </w:r>
      <w:r>
        <w:rPr>
          <w:rFonts w:ascii="Times New Roman" w:hAnsi="Times New Roman" w:eastAsia="微软雅黑"/>
          <w:vertAlign w:val="subscript"/>
        </w:rPr>
        <w:t>i</w:t>
      </w:r>
      <w:r>
        <w:rPr>
          <w:rFonts w:ascii="Times New Roman" w:hAnsi="Times New Roman" w:eastAsia="微软雅黑"/>
        </w:rPr>
        <w:t xml:space="preserve"> indicates substantial interaction effects; when </w:t>
      </w:r>
      <w:r>
        <w:rPr>
          <w:rFonts w:ascii="Times New Roman" w:hAnsi="Times New Roman" w:eastAsia="微软雅黑"/>
          <w:i/>
        </w:rPr>
        <w:t>S</w:t>
      </w:r>
      <w:r>
        <w:rPr>
          <w:rFonts w:ascii="Times New Roman" w:hAnsi="Times New Roman" w:eastAsia="微软雅黑"/>
          <w:vertAlign w:val="subscript"/>
        </w:rPr>
        <w:t>T,i</w:t>
      </w:r>
      <w:r>
        <w:rPr>
          <w:rFonts w:ascii="Times New Roman" w:hAnsi="Times New Roman" w:eastAsia="微软雅黑"/>
        </w:rPr>
        <w:t xml:space="preserve"> ≈ </w:t>
      </w:r>
      <w:r>
        <w:rPr>
          <w:rFonts w:ascii="Times New Roman" w:hAnsi="Times New Roman" w:eastAsia="微软雅黑"/>
          <w:i/>
        </w:rPr>
        <w:t>S</w:t>
      </w:r>
      <w:r>
        <w:rPr>
          <w:rFonts w:ascii="Times New Roman" w:hAnsi="Times New Roman" w:eastAsia="微软雅黑"/>
          <w:vertAlign w:val="subscript"/>
        </w:rPr>
        <w:t>i</w:t>
      </w:r>
      <w:r>
        <w:rPr>
          <w:rFonts w:ascii="Times New Roman" w:hAnsi="Times New Roman" w:eastAsia="微软雅黑"/>
        </w:rPr>
        <w:t>, input i acts primarily through an independent channel.</w:t>
      </w:r>
    </w:p>
    <w:p>
      <w:r>
        <w:rPr>
          <w:rFonts w:ascii="Times New Roman" w:hAnsi="Times New Roman" w:eastAsia="微软雅黑"/>
        </w:rPr>
        <w:t>基于方差的全局敏感性分析建立在 Sobol 分解之上。对于独立输入 θ = (θ_1, …, θ_d) 的平方可积输出 Y = μ̂(θ)，有：</w:t>
      </w:r>
    </w:p>
    <w:p>
      <w:pPr>
        <w:spacing w:before="80" w:after="80"/>
        <w:jc w:val="center"/>
      </w:pPr>
      <m:oMathPara>
        <m:oMath>
          <m:r>
            <m:rPr>
              <m:sty m:val="pi"/>
            </m:rPr>
            <m:t xml:space="preserve">Var(Y) = Σ_i V_i + Σ_{i&lt;j} V_{ij} + … + V_{1…d}，</m:t>
          </m:r>
        </m:oMath>
      </m:oMathPara>
    </w:p>
    <w:p>
      <w:r>
        <w:rPr>
          <w:rFonts w:ascii="Times New Roman" w:hAnsi="Times New Roman" w:eastAsia="微软雅黑"/>
        </w:rPr>
        <w:t xml:space="preserve">其中 </w:t>
      </w:r>
      <w:r>
        <w:rPr>
          <w:rFonts w:ascii="Times New Roman" w:hAnsi="Times New Roman" w:eastAsia="微软雅黑"/>
          <w:i/>
        </w:rPr>
        <w:t>V</w:t>
      </w:r>
      <w:r>
        <w:rPr>
          <w:rFonts w:ascii="Times New Roman" w:hAnsi="Times New Roman" w:eastAsia="微软雅黑"/>
          <w:vertAlign w:val="subscript"/>
        </w:rPr>
        <w:t>i</w:t>
      </w:r>
      <w:r>
        <w:rPr>
          <w:rFonts w:ascii="Times New Roman" w:hAnsi="Times New Roman" w:eastAsia="微软雅黑"/>
        </w:rPr>
        <w:t xml:space="preserve"> = Var_{θ_i}(E[Y | θ_i]) 为输入 i 的主效应方差，高阶项收集两两和多项交互。一阶与总阶 Sobol 指数分别为：</w:t>
      </w:r>
    </w:p>
    <w:p>
      <w:pPr>
        <w:spacing w:before="80" w:after="80"/>
        <w:jc w:val="center"/>
      </w:pPr>
      <m:oMathPara>
        <m:oMath>
          <m:r>
            <m:rPr>
              <m:sty m:val="pi"/>
            </m:rPr>
            <m:t xml:space="preserve">S_i = V_i / Var(Y)， S_{T,i} = 1 − Var_{θ_{~i}}(E[Y | θ_{~i}]) / Var(Y)。</m:t>
          </m:r>
        </m:oMath>
      </m:oMathPara>
    </w:p>
    <w:p>
      <w:r>
        <w:rPr>
          <w:rFonts w:ascii="Times New Roman" w:hAnsi="Times New Roman" w:eastAsia="微软雅黑"/>
          <w:i/>
        </w:rPr>
        <w:t>S</w:t>
      </w:r>
      <w:r>
        <w:rPr>
          <w:rFonts w:ascii="Times New Roman" w:hAnsi="Times New Roman" w:eastAsia="微软雅黑"/>
          <w:vertAlign w:val="subscript"/>
        </w:rPr>
        <w:t>i</w:t>
      </w:r>
      <w:r>
        <w:rPr>
          <w:rFonts w:ascii="Times New Roman" w:hAnsi="Times New Roman" w:eastAsia="微软雅黑"/>
        </w:rPr>
        <w:t xml:space="preserve"> 度量仅由输入 i 单独引起的输出方差比例；</w:t>
      </w:r>
      <w:r>
        <w:rPr>
          <w:rFonts w:ascii="Times New Roman" w:hAnsi="Times New Roman" w:eastAsia="微软雅黑"/>
          <w:i/>
        </w:rPr>
        <w:t>S</w:t>
      </w:r>
      <w:r>
        <w:rPr>
          <w:rFonts w:ascii="Times New Roman" w:hAnsi="Times New Roman" w:eastAsia="微软雅黑"/>
          <w:vertAlign w:val="subscript"/>
        </w:rPr>
        <w:t>T,i</w:t>
      </w:r>
      <w:r>
        <w:rPr>
          <w:rFonts w:ascii="Times New Roman" w:hAnsi="Times New Roman" w:eastAsia="微软雅黑"/>
        </w:rPr>
        <w:t xml:space="preserve"> 汇集所有涉及输入 i 的效应（含交互）。</w:t>
      </w:r>
      <w:r>
        <w:rPr>
          <w:rFonts w:ascii="Times New Roman" w:hAnsi="Times New Roman" w:eastAsia="微软雅黑"/>
          <w:i/>
        </w:rPr>
        <w:t>S</w:t>
      </w:r>
      <w:r>
        <w:rPr>
          <w:rFonts w:ascii="Times New Roman" w:hAnsi="Times New Roman" w:eastAsia="微软雅黑"/>
          <w:vertAlign w:val="subscript"/>
        </w:rPr>
        <w:t>T,i</w:t>
      </w:r>
      <w:r>
        <w:rPr>
          <w:rFonts w:ascii="Times New Roman" w:hAnsi="Times New Roman" w:eastAsia="微软雅黑"/>
        </w:rPr>
        <w:t xml:space="preserve"> 与 </w:t>
      </w:r>
      <w:r>
        <w:rPr>
          <w:rFonts w:ascii="Times New Roman" w:hAnsi="Times New Roman" w:eastAsia="微软雅黑"/>
          <w:i/>
        </w:rPr>
        <w:t>S</w:t>
      </w:r>
      <w:r>
        <w:rPr>
          <w:rFonts w:ascii="Times New Roman" w:hAnsi="Times New Roman" w:eastAsia="微软雅黑"/>
          <w:vertAlign w:val="subscript"/>
        </w:rPr>
        <w:t>i</w:t>
      </w:r>
      <w:r>
        <w:rPr>
          <w:rFonts w:ascii="Times New Roman" w:hAnsi="Times New Roman" w:eastAsia="微软雅黑"/>
        </w:rPr>
        <w:t xml:space="preserve"> 之间的较大差距表明存在显著的交互效应；当 </w:t>
      </w:r>
      <w:r>
        <w:rPr>
          <w:rFonts w:ascii="Times New Roman" w:hAnsi="Times New Roman" w:eastAsia="微软雅黑"/>
          <w:i/>
        </w:rPr>
        <w:t>S</w:t>
      </w:r>
      <w:r>
        <w:rPr>
          <w:rFonts w:ascii="Times New Roman" w:hAnsi="Times New Roman" w:eastAsia="微软雅黑"/>
          <w:vertAlign w:val="subscript"/>
        </w:rPr>
        <w:t>T,i</w:t>
      </w:r>
      <w:r>
        <w:rPr>
          <w:rFonts w:ascii="Times New Roman" w:hAnsi="Times New Roman" w:eastAsia="微软雅黑"/>
        </w:rPr>
        <w:t xml:space="preserve"> ≈ </w:t>
      </w:r>
      <w:r>
        <w:rPr>
          <w:rFonts w:ascii="Times New Roman" w:hAnsi="Times New Roman" w:eastAsia="微软雅黑"/>
          <w:i/>
        </w:rPr>
        <w:t>S</w:t>
      </w:r>
      <w:r>
        <w:rPr>
          <w:rFonts w:ascii="Times New Roman" w:hAnsi="Times New Roman" w:eastAsia="微软雅黑"/>
          <w:vertAlign w:val="subscript"/>
        </w:rPr>
        <w:t>i</w:t>
      </w:r>
      <w:r>
        <w:rPr>
          <w:rFonts w:ascii="Times New Roman" w:hAnsi="Times New Roman" w:eastAsia="微软雅黑"/>
        </w:rPr>
        <w:t xml:space="preserve"> 时，输入 i 主要通过独立通道起作用。</w:t>
      </w:r>
    </w:p>
    <w:p>
      <w:r>
        <w:rPr>
          <w:rFonts w:ascii="Times New Roman" w:hAnsi="Times New Roman" w:eastAsia="微软雅黑"/>
        </w:rPr>
        <w:t xml:space="preserve">Indices are estimated with the Saltelli cross-matrix sampling scheme and the Jansen estimator [9]. Two independent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8 matrices A and B are drawn from the prior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4096). For each input dimension i, a cross-matrix A_B^(i) is formed by replacing the i-th column of A with that of B, giving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(8 + 2) = 40,960 surrogate evaluations per replication. The BNN posterior predictive mean μ̂(θ) serves as the deterministic evaluator, isolating parametric sensitivity from surrogate weight uncertainty.</w:t>
      </w:r>
    </w:p>
    <w:p>
      <w:r>
        <w:rPr>
          <w:rFonts w:ascii="Times New Roman" w:hAnsi="Times New Roman" w:eastAsia="微软雅黑"/>
        </w:rPr>
        <w:t xml:space="preserve">采用 Saltelli 交叉矩阵采样方案与 Jansen 估计量 [9] 估计指数。从先验中抽取两个独立的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8 矩阵 A 与 B（</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4096）。对每个输入维度 i，将 A 的第 i 列替换为 B 的第 i 列，形成交叉矩阵 A_B^(i)，每次重复需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(8 + 2) = 40,960 次代理评估。BNN 后验预测均值 μ̂(θ) 充当确定性评估器，将参数敏感性与代理权重不确定性分离。</w:t>
      </w:r>
    </w:p>
    <w:p>
      <w:r>
        <w:rPr>
          <w:rFonts w:ascii="Times New Roman" w:hAnsi="Times New Roman" w:eastAsia="微软雅黑"/>
        </w:rPr>
        <w:t>To quantify sampling uncertainty in the estimated indices, the analysis is independently repeated 50 times with different random seeds. The purpose of this replication is not to average over the BNN's weight uncertainty, which is already marginalised in μ̂(θ), but to quantify the Monte Carlo sampling noise inherent in the Saltelli estimator itself. The 90% confidence interval for each index is computed as S̄₁ ± 1.645 × SE, where SE is the standard error across the 50 replications. A factor is treated as a stable contributor only if the lower bound of its 90% CI exceeds zero. Factors whose CI includes zero are not interpreted as meaningful contributors, regardless of their point estimate.</w:t>
      </w:r>
    </w:p>
    <w:p>
      <w:r>
        <w:rPr>
          <w:rFonts w:ascii="Times New Roman" w:hAnsi="Times New Roman" w:eastAsia="微软雅黑"/>
        </w:rPr>
        <w:t>为量化估计指数中的采样不确定性，分析以不同随机种子独立重复 50 次。重复的目的不是对 BNN 权重不确定性求均值——μ̂(θ) 中已完成边缘化——而是量化 Saltelli 估计量本身固有的蒙特卡洛采样噪声。每个指数的 90% 置信区间计算为 S̄₁ ± 1.645 × SE，SE 为 50 次重复的标准误差。仅当 90% CI 下界严格大于零时，对应因子才视为稳定贡献者。CI 包含零的因子无论点估计值如何，均不解释为有意义的贡献者。</w:t>
      </w:r>
    </w:p>
    <w:p>
      <w:pPr>
        <w:pStyle w:val="Heading2"/>
      </w:pPr>
      <w:r>
        <w:t>4.6 后验标定方法 / Posterior Calibration Methodology</w:t>
      </w:r>
    </w:p>
    <w:p>
      <w:r>
        <w:rPr>
          <w:rFonts w:ascii="Times New Roman" w:hAnsi="Times New Roman" w:eastAsia="微软雅黑"/>
        </w:rPr>
        <w:t>Posterior calibration uses Bayesian inference to update the prior parameter distribution given observed coupled outputs. It quantifies how much parameter uncertainty can be reduced by measurement-like information. Let π(θ) denote the prior and p(y_obs | θ) the likelihood induced by the BNN posterior predictive mean and the observation-noise model. The posterior over calibrated parameters is then</w:t>
      </w:r>
    </w:p>
    <w:p>
      <w:pPr>
        <w:spacing w:before="80" w:after="80"/>
        <w:jc w:val="center"/>
      </w:pPr>
      <m:oMathPara>
        <m:oMath>
          <m:r>
            <m:rPr>
              <m:sty m:val="pi"/>
            </m:rPr>
            <m:t xml:space="preserve">p(θ | y_obs) ∝ p(y_obs | θ) · π(θ).</m:t>
          </m:r>
        </m:oMath>
      </m:oMathPara>
    </w:p>
    <w:p>
      <w:r>
        <w:rPr>
          <w:rFonts w:ascii="Times New Roman" w:hAnsi="Times New Roman" w:eastAsia="微软雅黑"/>
        </w:rPr>
        <w:t>The posterior is represented by MCMC samples {θ^(m)}_{m=1}^{M}. It is used downstream as an updated parameter distribution and can be re-evaluated through the BNN posterior predictive function for any output of interest.</w:t>
      </w:r>
    </w:p>
    <w:p>
      <w:r>
        <w:rPr>
          <w:rFonts w:ascii="Times New Roman" w:hAnsi="Times New Roman" w:eastAsia="微软雅黑"/>
        </w:rPr>
        <w:t>后验标定使用贝叶斯推断在给定观测耦合输出的条件下更新先验参数分布，量化类测量信息可以减少多少参数不确定性。记先验为 π(θ)，由 BNN 后验预测均值与观测噪声模型共同给出的似然为 p(y_obs | θ)。标定参数的后验即为</w:t>
      </w:r>
    </w:p>
    <w:p>
      <w:pPr>
        <w:spacing w:before="80" w:after="80"/>
        <w:jc w:val="center"/>
      </w:pPr>
      <m:oMathPara>
        <m:oMath>
          <m:r>
            <m:rPr>
              <m:sty m:val="pi"/>
            </m:rPr>
            <m:t xml:space="preserve">p(θ | y_obs) ∝ p(y_obs | θ) · π(θ)。</m:t>
          </m:r>
        </m:oMath>
      </m:oMathPara>
    </w:p>
    <w:p>
      <w:r>
        <w:rPr>
          <w:rFonts w:ascii="Times New Roman" w:hAnsi="Times New Roman" w:eastAsia="微软雅黑"/>
        </w:rPr>
        <w:t>后验通过 MCMC 样本 {θ^(m)}_{m=1}^{M} 表示。下游将其作为更新后的参数分布使用，并可针对任意感兴趣输出经 BNN 后验预测函数重新评估。</w:t>
      </w:r>
    </w:p>
    <w:p>
      <w:r>
        <w:rPr>
          <w:rFonts w:ascii="Times New Roman" w:hAnsi="Times New Roman" w:eastAsia="微软雅黑"/>
        </w:rPr>
        <w:t xml:space="preserve">Four parameters are selected for calibration: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The subset was chosen on the basis of the Sobol ranking. These four parameters have the largest S₁ values for stress and/or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and collectively account for the majority of the explained variance. The remaining four parameters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and ν are fixed at their true test-case values. Fixing these parameters is a simplification that assumes they could be independently measured. Relaxing this assumption to a full 8-dimensional calibration would require additional independent observations to constrain the expanded parameter space.</w:t>
      </w:r>
    </w:p>
    <w:p>
      <w:r>
        <w:rPr>
          <w:rFonts w:ascii="Times New Roman" w:hAnsi="Times New Roman" w:eastAsia="微软雅黑"/>
        </w:rPr>
        <w:t>选择四个参数进行标定：</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与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。该子集基于 Sobol 排序选择。这四个参数对应力或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具有最大的 S₁ 值，共同解释了大部分方差。其余四个参数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与 ν 固定在真实测试案例值上。固定它们是一种简化，假定它们可被独立测量。若将该假设放松为完整 8 维标定，则需要额外的独立观测以约束扩展的参数空间。</w:t>
      </w:r>
    </w:p>
    <w:p>
      <w:r>
        <w:rPr>
          <w:rFonts w:ascii="Times New Roman" w:hAnsi="Times New Roman" w:eastAsia="微软雅黑"/>
        </w:rPr>
        <w:t>The 18 benchmark cases are drawn from the test split to ensure the BNN has not seen the true parameter–output pairs during training. The cases are selected to cover a representative range of stress levels across the surrogate's operating domain.</w:t>
      </w:r>
    </w:p>
    <w:p>
      <w:r>
        <w:rPr>
          <w:rFonts w:ascii="Times New Roman" w:hAnsi="Times New Roman" w:eastAsia="微软雅黑"/>
        </w:rPr>
        <w:t>18 个基准案例从测试集中抽取，确保 BNN 在训练中未见过真实参数–输出对。案例的选取覆盖代理运行范围内的代表性应力水平。</w:t>
      </w:r>
    </w:p>
    <w:p>
      <w:r>
        <w:rPr>
          <w:rFonts w:ascii="Times New Roman" w:hAnsi="Times New Roman" w:eastAsia="微软雅黑"/>
        </w:rPr>
        <w:t xml:space="preserve">For each benchmark case, the "observations" are the true HF outputs of 5 primary coupled quantities, corrupted by 2% multiplicative Gaussian noise. The five quantities are peak global stress, peak fuel temperature, peak monolith temperature, wall expansion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The noise model is y_obs = y_true + ε with ε ~ N(0, (0.02 × |y_true|)²). This noise level simulates realistic measurement uncertainty.</w:t>
      </w:r>
    </w:p>
    <w:p>
      <w:r>
        <w:rPr>
          <w:rFonts w:ascii="Times New Roman" w:hAnsi="Times New Roman" w:eastAsia="微软雅黑"/>
        </w:rPr>
        <w:t xml:space="preserve">对每个基准案例，"观测"为 5 个主耦合输出的真实 HF 值加 2% 乘性高斯噪声。五个输出量为峰值全局应力、峰值燃料温度、峰值基体温度、壁面膨胀量与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。噪声模型为 y_obs = y_true + ε，ε ~ N(0, (0.02 × |y_true|)²)。该噪声水平模拟实际测量不确定性。</w:t>
      </w:r>
    </w:p>
    <w:p>
      <w:r>
        <w:rPr>
          <w:rFonts w:ascii="Times New Roman" w:hAnsi="Times New Roman" w:eastAsia="微软雅黑"/>
        </w:rPr>
        <w:t xml:space="preserve">The posterior is sampled using Metropolis-Hastings MCMC. Metropolis- Hastings is chosen because the BNN posterior predictive mean provides a pointwise likelihood evaluation but not a gradient; gradient-based samplers such as HMC are therefore not directly applicable without additional infrastructure. Each case is run with 4 independent chains. The use of multiple chains from dispersed initialisations serves two purposes: it guards against convergence to a local mode, and it enables the Gelman-Rubin R̂ convergence diagnostic. Each chain is initialised from a different random draw from the prior. The proposal distribution is a Gaussian centred at the current state, with per-parameter scale 0.40 × </w:t>
      </w:r>
      <w:r>
        <w:rPr>
          <w:rFonts w:ascii="Times New Roman" w:hAnsi="Times New Roman" w:eastAsia="微软雅黑"/>
          <w:i w:val="0"/>
        </w:rPr>
        <w:t>σ</w:t>
      </w:r>
      <w:r>
        <w:rPr>
          <w:rFonts w:ascii="Times New Roman" w:hAnsi="Times New Roman" w:eastAsia="微软雅黑"/>
          <w:vertAlign w:val="subscript"/>
        </w:rPr>
        <w:t>prior</w:t>
      </w:r>
      <w:r>
        <w:rPr>
          <w:rFonts w:ascii="Times New Roman" w:hAnsi="Times New Roman" w:eastAsia="微软雅黑"/>
        </w:rPr>
        <w:t xml:space="preserve">; </w:t>
      </w:r>
      <w:r>
        <w:rPr>
          <w:rFonts w:ascii="Times New Roman" w:hAnsi="Times New Roman" w:eastAsia="微软雅黑"/>
          <w:i w:val="0"/>
        </w:rPr>
        <w:t>σ</w:t>
      </w:r>
      <w:r>
        <w:rPr>
          <w:rFonts w:ascii="Times New Roman" w:hAnsi="Times New Roman" w:eastAsia="微软雅黑"/>
          <w:vertAlign w:val="subscript"/>
        </w:rPr>
        <w:t>prior</w:t>
      </w:r>
      <w:r>
        <w:rPr>
          <w:rFonts w:ascii="Times New Roman" w:hAnsi="Times New Roman" w:eastAsia="微软雅黑"/>
        </w:rPr>
        <w:t xml:space="preserve"> denotes the prior standard deviation. The scale 0.40 was selected by preliminary tuning on two pilot cases to target acceptance rates in the 0.3–0.6 range recommended for random-walk Metropolis in moderate dimensions. Each chain runs for 8000 iterations. The first 2000 are discarded as burn-in to allow the chains to forget their initialisations and reach the stationary distribution. Every 5th sample is retained thereafter to reduce autocorrelation in the stored chain. This yields 1200 posterior samples per chain and 4800 per case after pooling. The log-likelihood for a candidate parameter vector θ* uses the BNN posterior predictive mean μ̂_j(θ*), marginalised over weight samples, as the forward-model surrogate:</w:t>
      </w:r>
    </w:p>
    <w:p>
      <w:r>
        <w:rPr>
          <w:rFonts w:ascii="Times New Roman" w:hAnsi="Times New Roman" w:eastAsia="微软雅黑"/>
        </w:rPr>
        <w:t xml:space="preserve">后验通过 Metropolis-Hastings MCMC 采样。选择 Metropolis-Hastings 是因为 BNN 后验预测均值提供逐点似然评估但不提供梯度；梯度型采样器如 HMC 在无额外基础设施时不可直接使用。每个案例独立运行 4 条链。多链从分散起点出发有两个目的：防止收敛至局部模态，并支持 Gelman-Rubin R̂ 收敛诊断。各链从先验中随机抽取不同起点初始化。提议分布为以当前状态为中心的高斯分布，每个参数尺度为 0.40 × </w:t>
      </w:r>
      <w:r>
        <w:rPr>
          <w:rFonts w:ascii="Times New Roman" w:hAnsi="Times New Roman" w:eastAsia="微软雅黑"/>
          <w:i w:val="0"/>
        </w:rPr>
        <w:t>σ</w:t>
      </w:r>
      <w:r>
        <w:rPr>
          <w:rFonts w:ascii="Times New Roman" w:hAnsi="Times New Roman" w:eastAsia="微软雅黑"/>
          <w:vertAlign w:val="subscript"/>
        </w:rPr>
        <w:t>prior</w:t>
      </w:r>
      <w:r>
        <w:rPr>
          <w:rFonts w:ascii="Times New Roman" w:hAnsi="Times New Roman" w:eastAsia="微软雅黑"/>
        </w:rPr>
        <w:t>，</w:t>
      </w:r>
      <w:r>
        <w:rPr>
          <w:rFonts w:ascii="Times New Roman" w:hAnsi="Times New Roman" w:eastAsia="微软雅黑"/>
          <w:i w:val="0"/>
        </w:rPr>
        <w:t>σ</w:t>
      </w:r>
      <w:r>
        <w:rPr>
          <w:rFonts w:ascii="Times New Roman" w:hAnsi="Times New Roman" w:eastAsia="微软雅黑"/>
          <w:vertAlign w:val="subscript"/>
        </w:rPr>
        <w:t>prior</w:t>
      </w:r>
      <w:r>
        <w:rPr>
          <w:rFonts w:ascii="Times New Roman" w:hAnsi="Times New Roman" w:eastAsia="微软雅黑"/>
        </w:rPr>
        <w:t xml:space="preserve"> 为先验标准差。0.40 的尺度经两个试点案例初步调参确定，以使接受率落在中等维度随机游走 Metropolis 推荐的 0.3–0.6 范围。每条链运行 8000 步迭代。前 2000 步作为烧入期丢弃，让链忘记初始化、达到平稳分布。其后每 5 步保留 1 个样本以降低自相关。由此每条链得到 1200 个后验样本，合并后每个案例共 4800 个。候选参数向量 θ* 的对数似然以 BNN 后验预测均值 μ̂_j(θ*)（已对权重样本边缘化）作为前向模型代理：</w:t>
      </w:r>
    </w:p>
    <w:p>
      <w:pPr>
        <w:spacing w:before="80" w:after="80"/>
        <w:jc w:val="center"/>
      </w:pPr>
      <m:oMathPara>
        <m:oMath>
          <m:r>
            <m:rPr>
              <m:sty m:val="pi"/>
            </m:rPr>
            <m:t xml:space="preserve">log L(y_obs | θ*) = −(1/2) Σ_j [(y_obs,j − μ̂_j(θ*))² / σ²_obs,j</m:t>
          </m:r>
        </m:oMath>
      </m:oMathPara>
    </w:p>
    <w:p>
      <w:r>
        <w:rPr>
          <w:rFonts w:ascii="Times New Roman" w:hAnsi="Times New Roman" w:eastAsia="微软雅黑"/>
        </w:rPr>
        <w:t xml:space="preserve">                                   + log σ²_obs,j]</w:t>
      </w:r>
    </w:p>
    <w:p>
      <w:r>
        <w:rPr>
          <w:rFonts w:ascii="Times New Roman" w:hAnsi="Times New Roman" w:eastAsia="微软雅黑"/>
        </w:rPr>
        <w:t xml:space="preserve">where </w:t>
      </w:r>
      <w:r>
        <w:rPr>
          <w:rFonts w:ascii="Times New Roman" w:hAnsi="Times New Roman" w:eastAsia="微软雅黑"/>
          <w:i w:val="0"/>
        </w:rPr>
        <w:t>σ</w:t>
      </w:r>
      <w:r>
        <w:rPr>
          <w:rFonts w:ascii="Times New Roman" w:hAnsi="Times New Roman" w:eastAsia="微软雅黑"/>
          <w:vertAlign w:val="subscript"/>
        </w:rPr>
        <w:t>obs</w:t>
      </w:r>
      <w:r>
        <w:rPr>
          <w:rFonts w:ascii="Times New Roman" w:hAnsi="Times New Roman" w:eastAsia="微软雅黑"/>
        </w:rPr>
        <w:t>,j = 0.02 × |y_true,j| is the observation-noise standard deviation. Acceptance rates across the 18 benchmark cases are reported in Section 2.4. Convergence is assessed primarily by the Gelman-Rubin statistic R̂ across the 4 chains per case, supplemented by trace-plot inspection in Fig. A1. A case is judged converged when R̂ &lt; 1.1 for every calibrated parameter. Detailed per-case R̂ values are reported in Appendix F.</w:t>
      </w:r>
    </w:p>
    <w:p>
      <w:r>
        <w:rPr>
          <w:rFonts w:ascii="Times New Roman" w:hAnsi="Times New Roman" w:eastAsia="微软雅黑"/>
        </w:rPr>
        <w:t xml:space="preserve">其中 </w:t>
      </w:r>
      <w:r>
        <w:rPr>
          <w:rFonts w:ascii="Times New Roman" w:hAnsi="Times New Roman" w:eastAsia="微软雅黑"/>
          <w:i w:val="0"/>
        </w:rPr>
        <w:t>σ</w:t>
      </w:r>
      <w:r>
        <w:rPr>
          <w:rFonts w:ascii="Times New Roman" w:hAnsi="Times New Roman" w:eastAsia="微软雅黑"/>
          <w:vertAlign w:val="subscript"/>
        </w:rPr>
        <w:t>obs</w:t>
      </w:r>
      <w:r>
        <w:rPr>
          <w:rFonts w:ascii="Times New Roman" w:hAnsi="Times New Roman" w:eastAsia="微软雅黑"/>
        </w:rPr>
        <w:t>,j = 0.02 × |y_true,j| 为观测噪声标准差。18 个基准案例的接受率在 §2.4 报告。收敛以每案例 4 链的 Gelman-Rubin 统计量 R̂ 为主评估，并以图 A1 中的 trace plot 作为辅助。当所有标定参数 R̂ &lt; 1.1 时该案例判为收敛。逐案例 R̂ 详见附录 F。</w:t>
      </w:r>
    </w:p>
    <w:p>
      <w:r>
        <w:rPr>
          <w:rFonts w:ascii="Times New Roman" w:hAnsi="Times New Roman" w:eastAsia="微软雅黑"/>
        </w:rPr>
        <w:t>Posterior summaries reported in Section 2.4 are computed entirely on the surrogate side. An independent high-fidelity re-evaluation at the posterior-mean parameter vectors is documented separately as a supplementary consistency check, outside the calibration loop.</w:t>
      </w:r>
    </w:p>
    <w:p>
      <w:r>
        <w:rPr>
          <w:rFonts w:ascii="Times New Roman" w:hAnsi="Times New Roman" w:eastAsia="微软雅黑"/>
        </w:rPr>
        <w:t>§2.4 报告的后验汇总量完全在代理侧计算。在后验均值参数处对耦合求解器的独立高保真重评估作为补充一致性核验另行记录，不属于标定回路。</w:t>
      </w:r>
    </w:p>
    <w:p>
      <w:pPr>
        <w:pStyle w:val="Heading1"/>
      </w:pPr>
      <w:r>
        <w:t>5. 结论 / Conclusion</w:t>
      </w:r>
    </w:p>
    <w:p>
      <w:r>
        <w:rPr>
          <w:rFonts w:ascii="Times New Roman" w:hAnsi="Times New Roman" w:eastAsia="微软雅黑"/>
        </w:rPr>
        <w:t xml:space="preserve">A single BNN posterior predictive distribution, trained on coupled OpenMC–FEniCS data, serves as the shared probabilistic basis for forward propagation, sensitivity attribution and posterior calibration of a heat-pipe-cooled reactor. Forward Monte Carlo propagation shows that two-way coupling damps stress variability by ≈ 28% relative to a decoupled prediction. Sobol decomposition reveals that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are governed by largely separate parameter groups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for stress,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 so the two observables carry non-redundant information for inverse analysis. MCMC calibration contracts the material-parameter distribution toward observation-compatible regions with 90%-CI coverage </w:t>
      </w:r>
      <w:r>
        <w:rPr>
          <w:rFonts w:ascii="Times New Roman" w:hAnsi="Times New Roman" w:eastAsia="微软雅黑"/>
          <w:b/>
          <w:color w:val="CC0000"/>
        </w:rPr>
        <w:t>【x】</w:t>
      </w:r>
      <w:r>
        <w:rPr>
          <w:rFonts w:ascii="Times New Roman" w:hAnsi="Times New Roman" w:eastAsia="微软雅黑"/>
        </w:rPr>
        <w:t xml:space="preserve"> across 18 held-out benchmarks, and the posterior-mean BNN stress tracks the true high-fidelity stress at MAE </w:t>
      </w:r>
      <w:r>
        <w:rPr>
          <w:rFonts w:ascii="Times New Roman" w:hAnsi="Times New Roman" w:eastAsia="微软雅黑"/>
          <w:b/>
          <w:color w:val="CC0000"/>
        </w:rPr>
        <w:t>【x】</w:t>
      </w:r>
      <w:r>
        <w:rPr>
          <w:rFonts w:ascii="Times New Roman" w:hAnsi="Times New Roman" w:eastAsia="微软雅黑"/>
        </w:rPr>
        <w:t xml:space="preserve"> MPa over the 133–194 MPa range.</w:t>
      </w:r>
    </w:p>
    <w:p>
      <w:r>
        <w:rPr>
          <w:rFonts w:ascii="Times New Roman" w:hAnsi="Times New Roman" w:eastAsia="微软雅黑"/>
        </w:rPr>
        <w:t>The surrogate is roughly five orders of magnitude cheaper per evaluation than a coupled high-fidelity solve. This cost reduction makes the full uncertainty workflow — propagation, sensitivity and calibration — executable end-to-end on a single workstation. More broadly, inserting a posterior-predictive surrogate between the coupled solver and the probabilistic-analysis pipeline converts operations that were previously gated by repeated high-fidelity solves into routine computations. The same workflow is readily applicable to other complex coupled multi-physics systems where uncertainty propagation, sensitivity analysis and calibration are still handled separately.</w:t>
      </w:r>
    </w:p>
    <w:p>
      <w:r>
        <w:rPr>
          <w:rFonts w:ascii="Times New Roman" w:hAnsi="Times New Roman" w:eastAsia="微软雅黑"/>
        </w:rPr>
        <w:t xml:space="preserve">本文基于耦合 OpenMC–FEniCS 数据训练了一个 BNN 后验预测分布，使其同时服务于热管冷却反应堆的前向传播、敏感性归因与后验标定。前向蒙特卡洛传播表明双向耦合使应力变异相对解耦预测降低约 28%。Sobol 分解揭示应力与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分别由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与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主导，两类观测量在反演中提供互补信息。MCMC 标定在 18 个基准案例上将材料参数分布收敛至与观测相容的区域，90%-CI 覆盖率为 </w:t>
      </w:r>
      <w:r>
        <w:rPr>
          <w:rFonts w:ascii="Times New Roman" w:hAnsi="Times New Roman" w:eastAsia="微软雅黑"/>
          <w:b/>
          <w:color w:val="CC0000"/>
        </w:rPr>
        <w:t>【x】</w:t>
      </w:r>
      <w:r>
        <w:rPr>
          <w:rFonts w:ascii="Times New Roman" w:hAnsi="Times New Roman" w:eastAsia="微软雅黑"/>
        </w:rPr>
        <w:t xml:space="preserve">，后验均值 BNN 应力与真实高保真应力的 MAE 为 </w:t>
      </w:r>
      <w:r>
        <w:rPr>
          <w:rFonts w:ascii="Times New Roman" w:hAnsi="Times New Roman" w:eastAsia="微软雅黑"/>
          <w:b/>
          <w:color w:val="CC0000"/>
        </w:rPr>
        <w:t>【x】</w:t>
      </w:r>
      <w:r>
        <w:rPr>
          <w:rFonts w:ascii="Times New Roman" w:hAnsi="Times New Roman" w:eastAsia="微软雅黑"/>
        </w:rPr>
        <w:t xml:space="preserve"> MPa，覆盖 133–194 MPa 应力范围。</w:t>
      </w:r>
    </w:p>
    <w:p>
      <w:r>
        <w:rPr>
          <w:rFonts w:ascii="Times New Roman" w:hAnsi="Times New Roman" w:eastAsia="微软雅黑"/>
        </w:rPr>
        <w:t>代理单次评估的代价较耦合高保真求解低约五个数量级。这一代价下降使完整的不确定性工作流——传播、敏感性与标定——可在单台工作站上端到端运行。更一般地，在耦合求解器与概率分析流水线之间嵌入后验预测代理，可将原本受制于反复高保真求解的操作转变为常规计算。同一方法可直接应用于其他目前仍将不确定性、敏感性与标定分别处理的复杂耦合多物理系统。</w:t>
      </w:r>
    </w:p>
    <w:p>
      <w:pPr>
        <w:pStyle w:val="Heading1"/>
      </w:pPr>
      <w:r>
        <w:t>参考文献 / References</w:t>
      </w:r>
    </w:p>
    <w:p>
      <w:r>
        <w:rPr>
          <w:rFonts w:ascii="Times New Roman" w:hAnsi="Times New Roman" w:eastAsia="微软雅黑"/>
        </w:rPr>
        <w:t>[1]  McClure PR, Poston DI, Dixon DD, Cooley JW. Design of megawatt power level heat pipe reactors. Los Alamos National Laboratory Technical Report, LA-UR-15-28840; 2015.</w:t>
      </w:r>
    </w:p>
    <w:p>
      <w:r>
        <w:rPr>
          <w:rFonts w:ascii="Times New Roman" w:hAnsi="Times New Roman" w:eastAsia="微软雅黑"/>
        </w:rPr>
        <w:t>[2]  Stauff NE, Miao Y, Cao Y, et al. High-fidelity multiphysics modeling of a heat pipe microreactor using BlueCrab. Nuclear Science and Engineering. 2024. doi:10.1080/00295639.2024.2375175.</w:t>
      </w:r>
    </w:p>
    <w:p>
      <w:r>
        <w:rPr>
          <w:rFonts w:ascii="Times New Roman" w:hAnsi="Times New Roman" w:eastAsia="微软雅黑"/>
        </w:rPr>
        <w:t>[3]  Miao Y, Cao Y, Mo K, et al. Multiphysics simulation of KRUSTY warm critical experiments using MOOSE tools. Nuclear Science and Engineering. 2025. doi:10.1080/00295639.2025.2560170.</w:t>
      </w:r>
    </w:p>
    <w:p>
      <w:r>
        <w:rPr>
          <w:rFonts w:ascii="Times New Roman" w:hAnsi="Times New Roman" w:eastAsia="微软雅黑"/>
        </w:rPr>
        <w:t>[4]  Aldebie F, Fernández-Cosials K, Hassan YA. Thermal-mechanical safety analysis of heat pipe micro reactor. Nuclear Engineering and Design. 2024;420:113003. doi:10.1016/j.nucengdes.2024.113003.</w:t>
      </w:r>
    </w:p>
    <w:p>
      <w:r>
        <w:rPr>
          <w:rFonts w:ascii="Times New Roman" w:hAnsi="Times New Roman" w:eastAsia="微软雅黑"/>
        </w:rPr>
        <w:t>[5]  Jeong MJ, Im J, Lee S, Cho HK. Multiphysics analysis of heat pipe cooled microreactor core with adjusted heat sink temperature for thermal stress reduction using OpenFOAM coupled with neutronics and heat pipe code. Frontiers in Energy Research. 2023;11:1213000. doi:10.3389/fenrg.2023.1213000.</w:t>
      </w:r>
    </w:p>
    <w:p>
      <w:r>
        <w:rPr>
          <w:rFonts w:ascii="Times New Roman" w:hAnsi="Times New Roman" w:eastAsia="微软雅黑"/>
        </w:rPr>
        <w:t>[6]  Slaughter AE, Prince ZM, German P, et al. MOOSE Stochastic Tools: a module for performing parallel, memory-efficient in situ stochastic simulations. SoftwareX. 2023;22:101345. doi:10.1016/j.softx.2023.101345.</w:t>
      </w:r>
    </w:p>
    <w:p>
      <w:r>
        <w:rPr>
          <w:rFonts w:ascii="Times New Roman" w:hAnsi="Times New Roman" w:eastAsia="微软雅黑"/>
        </w:rPr>
        <w:t>[7]  Dhulipala SLN, German P, Che Y, et al. MOOSE ProbML: parallelized probabilistic machine learning and uncertainty quantification for computational energy applications. Journal of Computational Science. 2026;94:102776. doi:10.1016/j.jocs.2025.102776.</w:t>
      </w:r>
    </w:p>
    <w:p>
      <w:r>
        <w:rPr>
          <w:rFonts w:ascii="Times New Roman" w:hAnsi="Times New Roman" w:eastAsia="微软雅黑"/>
        </w:rPr>
        <w:t>[8]  Lim JY, Li J, O'Grady D, Downar T, Duraisamy K. A hybrid surrogate modeling framework for the Digital Twin of a Fluoride-salt-cooled High-temperature Reactor (FHR). Nuclear Engineering and Design. 2025;433:113690. doi:10.1016/j.nucengdes.2024.113690.</w:t>
      </w:r>
    </w:p>
    <w:p>
      <w:r>
        <w:rPr>
          <w:rFonts w:ascii="Times New Roman" w:hAnsi="Times New Roman" w:eastAsia="微软雅黑"/>
        </w:rPr>
        <w:t xml:space="preserve">[9]  Zhang T, Chen Y, Wang S, Liu X. Design-oriented multiphysics analysis and surrogate modelling of a heat-pipe-cooled reactor. Energy. 2025. </w:t>
      </w:r>
      <w:r>
        <w:rPr>
          <w:rFonts w:ascii="Times New Roman" w:hAnsi="Times New Roman" w:eastAsia="微软雅黑"/>
          <w:b/>
          <w:color w:val="CC0000"/>
        </w:rPr>
        <w:t>【x】</w:t>
      </w:r>
    </w:p>
    <w:p>
      <w:r>
        <w:rPr>
          <w:rFonts w:ascii="Times New Roman" w:hAnsi="Times New Roman" w:eastAsia="微软雅黑"/>
        </w:rPr>
        <w:t>[10] Blundell C, Cornebise J, Kavukcuoglu K, Wierstra D. Weight uncertainty in neural networks. Proceedings of the 32nd International Conference on Machine Learning (ICML). 2015; pp. 1613–1622.</w:t>
      </w:r>
    </w:p>
    <w:p>
      <w:pPr>
        <w:pStyle w:val="Heading1"/>
      </w:pPr>
      <w:r>
        <w:t>致谢 / Acknowledgements</w:t>
      </w:r>
    </w:p>
    <w:p>
      <w:r>
        <w:rPr>
          <w:rFonts w:ascii="Times New Roman" w:hAnsi="Times New Roman" w:eastAsia="微软雅黑"/>
        </w:rPr>
        <w:t>The authors gratefully acknowledge the support provided by the National Natural Science Foundation of China [12175138]; Shanghai Rising-Star Program; and LingChuang Research Project of China National Nuclear Corporation.</w:t>
      </w:r>
    </w:p>
    <w:p>
      <w:r>
        <w:rPr>
          <w:rFonts w:ascii="Times New Roman" w:hAnsi="Times New Roman" w:eastAsia="微软雅黑"/>
        </w:rPr>
        <w:t>作者衷心感谢国家自然科学基金（项目编号 12175138）、上海市"启明星"计划以及中国核工业集团有限公司"领创"研究项目对本研究的资助支持。</w:t>
      </w:r>
    </w:p>
    <w:p>
      <w:pPr>
        <w:pStyle w:val="Heading1"/>
      </w:pPr>
      <w:r>
        <w:t>附录 / Appendices  (内容摘要)</w:t>
      </w:r>
    </w:p>
    <w:p>
      <w:r>
        <w:rPr>
          <w:rFonts w:ascii="Times New Roman" w:hAnsi="Times New Roman" w:eastAsia="微软雅黑"/>
        </w:rPr>
        <w:t xml:space="preserve">A. OOD 评估（四特征尾部：应力 OOD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0.75–0.79 稳定；</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OOD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跨特征为 0.29–0.80，</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尾部最低；附 SST 膨胀说明） B. 无约束 BNN 消融（去除单调性与不等式先验，仅保留 ELBO；与主代理的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w:t>
      </w:r>
      <w:r>
        <w:rPr>
          <w:rFonts w:ascii="Times New Roman" w:hAnsi="Times New Roman" w:eastAsia="微软雅黑"/>
          <w:i w:val="0"/>
        </w:rPr>
        <w:t>PICP</w:t>
      </w:r>
      <w:r>
        <w:rPr>
          <w:rFonts w:ascii="Times New Roman" w:hAnsi="Times New Roman" w:eastAsia="微软雅黑"/>
          <w:vertAlign w:val="subscript"/>
        </w:rPr>
        <w:t>90</w:t>
      </w:r>
      <w:r>
        <w:rPr>
          <w:rFonts w:ascii="Times New Roman" w:hAnsi="Times New Roman" w:eastAsia="微软雅黑"/>
        </w:rPr>
        <w:t xml:space="preserve"> / </w:t>
      </w:r>
      <w:r>
        <w:rPr>
          <w:rFonts w:ascii="Times New Roman" w:hAnsi="Times New Roman" w:eastAsia="微软雅黑"/>
          <w:i w:val="0"/>
        </w:rPr>
        <w:t>MPIW</w:t>
      </w:r>
      <w:r>
        <w:rPr>
          <w:rFonts w:ascii="Times New Roman" w:hAnsi="Times New Roman" w:eastAsia="微软雅黑"/>
          <w:vertAlign w:val="subscript"/>
        </w:rPr>
        <w:t>90</w:t>
      </w:r>
      <w:r>
        <w:rPr>
          <w:rFonts w:ascii="Times New Roman" w:hAnsi="Times New Roman" w:eastAsia="微软雅黑"/>
        </w:rPr>
        <w:t xml:space="preserve"> / 秩单调性对比） C. 完整 Sobol 结果（8 输入 × 2 输出，含 S_T 指数与 CI） D. 全部 15 输出量精度表（FIG A5: 分输出精度图） E. MCMC 迹图（FIG A1）+ 多链 R̂ 诊断 F. 先验–后验边缘分布（FIG A2） G. BNN 校准可靠性曲线（FIG A3） H. 预测方差分解诊断（认识论 vs 偶然分量在测试集上的相对幅度，FIG A4） I. 先验–后验预测分布对比（FIG A6） J. BNN 架构示意图（FIG A7） K. 训练曲线（FIG A8）——BNN ELBO 演化与无约束消融对比 L. 速度基准详情表（TABLE L1） M. 前向 UQ predictive variant 结果对比（μ̂-only vs full posterior predictive） N. BNN 推断方案消融（MFVI vs MC-Dropout vs Ensemble，若启用）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