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6D0F" w:rsidRDefault="00000000">
      <w:pPr>
        <w:jc w:val="center"/>
      </w:pPr>
      <w:r>
        <w:rPr>
          <w:b/>
          <w:sz w:val="28"/>
        </w:rPr>
        <w:t>A Posterior-Predictive Bayesian Surrogate for Coupled Neutronic–Thermal–Structural Analysis in Heat-Pipe-Cooled Reactors</w:t>
      </w:r>
    </w:p>
    <w:p w:rsidR="00026D0F" w:rsidRDefault="00000000">
      <w:pPr>
        <w:jc w:val="center"/>
        <w:rPr>
          <w:lang w:eastAsia="zh-CN"/>
        </w:rPr>
      </w:pPr>
      <w:r>
        <w:rPr>
          <w:b/>
          <w:sz w:val="26"/>
          <w:lang w:eastAsia="zh-CN"/>
        </w:rPr>
        <w:t>面向热管冷却反应堆耦合中子</w:t>
      </w:r>
      <w:r>
        <w:rPr>
          <w:b/>
          <w:sz w:val="26"/>
          <w:lang w:eastAsia="zh-CN"/>
        </w:rPr>
        <w:t>–</w:t>
      </w:r>
      <w:r>
        <w:rPr>
          <w:b/>
          <w:sz w:val="26"/>
          <w:lang w:eastAsia="zh-CN"/>
        </w:rPr>
        <w:t>热</w:t>
      </w:r>
      <w:r>
        <w:rPr>
          <w:b/>
          <w:sz w:val="26"/>
          <w:lang w:eastAsia="zh-CN"/>
        </w:rPr>
        <w:t>–</w:t>
      </w:r>
      <w:r>
        <w:rPr>
          <w:b/>
          <w:sz w:val="26"/>
          <w:lang w:eastAsia="zh-CN"/>
        </w:rPr>
        <w:t>力分析的后验预测贝叶斯代理</w:t>
      </w:r>
    </w:p>
    <w:p w:rsidR="00026D0F" w:rsidRDefault="00026D0F">
      <w:pPr>
        <w:rPr>
          <w:lang w:eastAsia="zh-CN"/>
        </w:rPr>
      </w:pPr>
    </w:p>
    <w:p w:rsidR="00026D0F" w:rsidRDefault="00000000">
      <w:pPr>
        <w:pStyle w:val="1"/>
      </w:pPr>
      <w:r>
        <w:t>作者</w:t>
      </w:r>
      <w:r>
        <w:t xml:space="preserve"> / Authors</w:t>
      </w:r>
    </w:p>
    <w:p w:rsidR="00026D0F" w:rsidRDefault="00000000">
      <w:r>
        <w:t>Yinuo Chen¹ᵃ˒ᵇ, Sicheng Wang²ᵇ˒ᶜ, Xiaojing Liu³ᵃ˒ᵇ and Tengfei Zhang⁴ᵃ˒ᵇ˒*</w:t>
      </w:r>
    </w:p>
    <w:p w:rsidR="00026D0F" w:rsidRDefault="00000000">
      <w: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sidR="00026D0F" w:rsidRDefault="00000000">
      <w:r>
        <w:t>*  Corresponding author: zhangtengfei@sjtu.edu.cn</w:t>
      </w:r>
    </w:p>
    <w:p w:rsidR="00026D0F" w:rsidRDefault="00000000">
      <w:pPr>
        <w:pStyle w:val="1"/>
      </w:pPr>
      <w:r>
        <w:t>摘要</w:t>
      </w:r>
      <w:r>
        <w:t xml:space="preserve"> / Abstract</w:t>
      </w:r>
    </w:p>
    <w:p w:rsidR="00026D0F" w:rsidRDefault="00000000">
      <w:r>
        <w:t>Compact reactor designs couple neutronics, heat transfer and structural mechanics through two-way feedback, so material-parameter uncertainty propagates simultaneously across the three channels rather than within any single physics. Forward uncertainty propagation, global sensitivity attribution and observation-conditioned calibration are all natural analyses to ask of such a system, but each is intractable directly on the coupled solver. We train a Bayesian neural network (BNN) surrogate on coupled OpenMC–FEniCS data of a heat-pipe-cooled reactor and use its posterior predictive distribution as the single probabilistic object on which all three downstream analyses operate, without retraining or recalibration between them. Two-way coupling actively reshapes the parameter-driven stress distribution, reducing its standard deviation by ≈ 28% relative to a decoupled prediction; stress and reactivity are governed by largely separate dominant parameters (</w:t>
      </w:r>
      <w:r>
        <w:rPr>
          <w:i/>
        </w:rPr>
        <w:t>E</w:t>
      </w:r>
      <w:r>
        <w:rPr>
          <w:vertAlign w:val="subscript"/>
        </w:rPr>
        <w:t>intercept</w:t>
      </w:r>
      <w:r>
        <w:t xml:space="preserve"> and α</w:t>
      </w:r>
      <w:r>
        <w:rPr>
          <w:vertAlign w:val="subscript"/>
        </w:rPr>
        <w:t>base</w:t>
      </w:r>
      <w:r>
        <w:t xml:space="preserve">, respectively); and across 18 benchmark calibrations the inferred parameter distribution contracts toward observation-compatible regions with 90%-CI coverage </w:t>
      </w:r>
      <w:r>
        <w:rPr>
          <w:b/>
          <w:color w:val="CC0000"/>
        </w:rPr>
        <w:t>【</w:t>
      </w:r>
      <w:r>
        <w:rPr>
          <w:b/>
          <w:color w:val="CC0000"/>
        </w:rPr>
        <w:t>x</w:t>
      </w:r>
      <w:r>
        <w:rPr>
          <w:b/>
          <w:color w:val="CC0000"/>
        </w:rPr>
        <w:t>】</w:t>
      </w:r>
      <w:r>
        <w:t>. With each posterior predictive draw costing ≈ 1.76 × 10⁵× less than a coupled high-fidelity case (2266 s on AMD EPYC 9654), the full uncertainty workflow for the coupled system runs end-to-end at surrogate cost on a single workstation.</w:t>
      </w:r>
    </w:p>
    <w:p w:rsidR="00026D0F" w:rsidRDefault="00000000">
      <w:pPr>
        <w:rPr>
          <w:lang w:eastAsia="zh-CN"/>
        </w:rPr>
      </w:pPr>
      <w:r>
        <w:rPr>
          <w:lang w:eastAsia="zh-CN"/>
        </w:rPr>
        <w:lastRenderedPageBreak/>
        <w:t>紧凑型反应堆将中子学、传热与结构力学通过双向反馈紧密耦合，材料参数不确定性因此在三类物理之间同时传播，而非局限于任一单一物理。前向不确定性传播、全局敏感性归因与观测条件下的后验标定都是此类系统自然要问的分析，但任何一项都难以直接在耦合求解器上完成。本文以热管冷却反应堆为对象，在耦合</w:t>
      </w:r>
      <w:r>
        <w:rPr>
          <w:lang w:eastAsia="zh-CN"/>
        </w:rPr>
        <w:t xml:space="preserve"> OpenMC–FEniCS </w:t>
      </w:r>
      <w:r>
        <w:rPr>
          <w:lang w:eastAsia="zh-CN"/>
        </w:rPr>
        <w:t>数据上训练贝叶斯神经网络（</w:t>
      </w:r>
      <w:r>
        <w:rPr>
          <w:lang w:eastAsia="zh-CN"/>
        </w:rPr>
        <w:t>BNN</w:t>
      </w:r>
      <w:r>
        <w:rPr>
          <w:lang w:eastAsia="zh-CN"/>
        </w:rPr>
        <w:t>）代理，并以其后验预测分布作为下游三类分析所共用的概率对象，三者无需各自重训或重新校准。双向耦合主动重塑了由参数驱动的应力分布，使其标准差相对解耦预测降低约</w:t>
      </w:r>
      <w:r>
        <w:rPr>
          <w:lang w:eastAsia="zh-CN"/>
        </w:rPr>
        <w:t xml:space="preserve"> 28%</w:t>
      </w:r>
      <w:r>
        <w:rPr>
          <w:lang w:eastAsia="zh-CN"/>
        </w:rPr>
        <w:t>；应力与反应性由基本分离的主控参数支配（分别为</w:t>
      </w:r>
      <w:r>
        <w:rPr>
          <w:lang w:eastAsia="zh-CN"/>
        </w:rPr>
        <w:t xml:space="preserve"> </w:t>
      </w:r>
      <w:r>
        <w:rPr>
          <w:i/>
          <w:lang w:eastAsia="zh-CN"/>
        </w:rPr>
        <w:t>E</w:t>
      </w:r>
      <w:r>
        <w:rPr>
          <w:vertAlign w:val="subscript"/>
          <w:lang w:eastAsia="zh-CN"/>
        </w:rPr>
        <w:t>intercept</w:t>
      </w:r>
      <w:r>
        <w:rPr>
          <w:lang w:eastAsia="zh-CN"/>
        </w:rPr>
        <w:t xml:space="preserve"> </w:t>
      </w:r>
      <w:r>
        <w:rPr>
          <w:lang w:eastAsia="zh-CN"/>
        </w:rPr>
        <w:t>与</w:t>
      </w:r>
      <w:r>
        <w:rPr>
          <w:lang w:eastAsia="zh-CN"/>
        </w:rPr>
        <w:t xml:space="preserve"> </w:t>
      </w:r>
      <w:r>
        <w:t>α</w:t>
      </w:r>
      <w:r>
        <w:rPr>
          <w:vertAlign w:val="subscript"/>
          <w:lang w:eastAsia="zh-CN"/>
        </w:rPr>
        <w:t>base</w:t>
      </w:r>
      <w:r>
        <w:rPr>
          <w:lang w:eastAsia="zh-CN"/>
        </w:rPr>
        <w:t>）；在</w:t>
      </w:r>
      <w:r>
        <w:rPr>
          <w:lang w:eastAsia="zh-CN"/>
        </w:rPr>
        <w:t xml:space="preserve"> 18 </w:t>
      </w:r>
      <w:r>
        <w:rPr>
          <w:lang w:eastAsia="zh-CN"/>
        </w:rPr>
        <w:t>例基准案例上，所推断的参数分布收敛至与观测相容的区域，</w:t>
      </w:r>
      <w:r>
        <w:rPr>
          <w:lang w:eastAsia="zh-CN"/>
        </w:rPr>
        <w:t xml:space="preserve">90%-CI </w:t>
      </w:r>
      <w:r>
        <w:rPr>
          <w:lang w:eastAsia="zh-CN"/>
        </w:rPr>
        <w:t>覆盖率为</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。每次后验预测抽样的代价较耦合高保真单案例（</w:t>
      </w:r>
      <w:r>
        <w:rPr>
          <w:lang w:eastAsia="zh-CN"/>
        </w:rPr>
        <w:t xml:space="preserve">AMD EPYC 9654 </w:t>
      </w:r>
      <w:r>
        <w:rPr>
          <w:lang w:eastAsia="zh-CN"/>
        </w:rPr>
        <w:t>上</w:t>
      </w:r>
      <w:r>
        <w:rPr>
          <w:lang w:eastAsia="zh-CN"/>
        </w:rPr>
        <w:t xml:space="preserve"> 2266 s</w:t>
      </w:r>
      <w:r>
        <w:rPr>
          <w:lang w:eastAsia="zh-CN"/>
        </w:rPr>
        <w:t>）减小约</w:t>
      </w:r>
      <w:r>
        <w:rPr>
          <w:lang w:eastAsia="zh-CN"/>
        </w:rPr>
        <w:t xml:space="preserve"> 1.76 × 10⁵ </w:t>
      </w:r>
      <w:r>
        <w:rPr>
          <w:lang w:eastAsia="zh-CN"/>
        </w:rPr>
        <w:t>倍，完整的耦合系统不确定性工作流可在单台工作站上以代理代价端到端运行。</w:t>
      </w:r>
    </w:p>
    <w:p w:rsidR="00026D0F" w:rsidRDefault="00000000">
      <w:pPr>
        <w:pStyle w:val="1"/>
      </w:pPr>
      <w:r>
        <w:t xml:space="preserve">1. </w:t>
      </w:r>
      <w:r>
        <w:t>引言</w:t>
      </w:r>
      <w:r>
        <w:t xml:space="preserve"> / Introduction</w:t>
      </w:r>
    </w:p>
    <w:p w:rsidR="00026D0F" w:rsidRDefault="00000000">
      <w:r>
        <w:t>Quantifying how material-property uncertainty propagates to safety margins is a prerequisite for licensing any reactor whose response is governed by multi-physics feedback. In compact heat-pipe-cooled designs, neutronics, heat transfer and structural mechanics couple through two-way feedback: a single uncertain material parameter simultaneously shifts the neutronic balance, the thermal field and the stress state [1,2]. The closed feedback loop can amplify or damp the resulting variability in ways that single-physics analyses cannot predict, so the uncertainty problem is inherently coupled.</w:t>
      </w:r>
    </w:p>
    <w:p w:rsidR="00026D0F" w:rsidRDefault="00000000">
      <w:pPr>
        <w:rPr>
          <w:lang w:eastAsia="zh-CN"/>
        </w:rPr>
      </w:pPr>
      <w:r>
        <w:rPr>
          <w:lang w:eastAsia="zh-CN"/>
        </w:rPr>
        <w:t>材料不确定性如何传播到安全裕量，是任何以多物理反馈为主控响应的反应堆许可评价的前置问题。在紧凑型热管冷却设计中，中子学、传热与结构力学通过双向反馈耦合：单个不确定材料参数可同时改变中子平衡、温度场与应力状态</w:t>
      </w:r>
      <w:r>
        <w:rPr>
          <w:lang w:eastAsia="zh-CN"/>
        </w:rPr>
        <w:t xml:space="preserve"> [1,2]</w:t>
      </w:r>
      <w:r>
        <w:rPr>
          <w:lang w:eastAsia="zh-CN"/>
        </w:rPr>
        <w:t>。闭合反馈回路会以单物理分析无法预见的方式放大或衰减由此产生的变异，因此不确定性问题本质上是耦合的。</w:t>
      </w:r>
    </w:p>
    <w:p w:rsidR="00026D0F" w:rsidRDefault="00000000">
      <w:r>
        <w:lastRenderedPageBreak/>
        <w:t>Coupled multi-physics modelling has matured: MOOSE-based toolchains handle neutronics–thermo-mechanics–heat-pipe coupling for KRUSTY-class and larger systems [2,3], and thermal–structural analyses have established stress concentration as a persistent safety concern in monolithic-core configurations [4,5]. On the stochastic side, surrogate- assisted modules in the MOOSE ecosystem [6,7] and digital-twin pipelines [8] address forward propagation, sensitivity or calibration individually. Yet each of these efforts uses a separately constructed model for each analysis, with no shared probabilistic basis between them.</w:t>
      </w:r>
    </w:p>
    <w:p w:rsidR="00026D0F" w:rsidRDefault="00000000">
      <w:pPr>
        <w:rPr>
          <w:lang w:eastAsia="zh-CN"/>
        </w:rPr>
      </w:pPr>
      <w:r>
        <w:rPr>
          <w:lang w:eastAsia="zh-CN"/>
        </w:rPr>
        <w:t>耦合多物理建模已趋成熟：基于</w:t>
      </w:r>
      <w:r>
        <w:rPr>
          <w:lang w:eastAsia="zh-CN"/>
        </w:rPr>
        <w:t xml:space="preserve"> MOOSE </w:t>
      </w:r>
      <w:r>
        <w:rPr>
          <w:lang w:eastAsia="zh-CN"/>
        </w:rPr>
        <w:t>的工具链可处理</w:t>
      </w:r>
      <w:r>
        <w:rPr>
          <w:lang w:eastAsia="zh-CN"/>
        </w:rPr>
        <w:t xml:space="preserve"> KRUSTY </w:t>
      </w:r>
      <w:r>
        <w:rPr>
          <w:lang w:eastAsia="zh-CN"/>
        </w:rPr>
        <w:t>类及更大系统的中子</w:t>
      </w:r>
      <w:r>
        <w:rPr>
          <w:lang w:eastAsia="zh-CN"/>
        </w:rPr>
        <w:t>–</w:t>
      </w:r>
      <w:r>
        <w:rPr>
          <w:lang w:eastAsia="zh-CN"/>
        </w:rPr>
        <w:t>热力</w:t>
      </w:r>
      <w:r>
        <w:rPr>
          <w:lang w:eastAsia="zh-CN"/>
        </w:rPr>
        <w:t>–</w:t>
      </w:r>
      <w:r>
        <w:rPr>
          <w:lang w:eastAsia="zh-CN"/>
        </w:rPr>
        <w:t>热管耦合</w:t>
      </w:r>
      <w:r>
        <w:rPr>
          <w:lang w:eastAsia="zh-CN"/>
        </w:rPr>
        <w:t xml:space="preserve"> [2,3]</w:t>
      </w:r>
      <w:r>
        <w:rPr>
          <w:lang w:eastAsia="zh-CN"/>
        </w:rPr>
        <w:t>；热</w:t>
      </w:r>
      <w:r>
        <w:rPr>
          <w:lang w:eastAsia="zh-CN"/>
        </w:rPr>
        <w:t>–</w:t>
      </w:r>
      <w:r>
        <w:rPr>
          <w:lang w:eastAsia="zh-CN"/>
        </w:rPr>
        <w:t>力分析已确认应力集中是基体式堆芯构型中持续性的安全关注</w:t>
      </w:r>
      <w:r>
        <w:rPr>
          <w:lang w:eastAsia="zh-CN"/>
        </w:rPr>
        <w:t xml:space="preserve"> [4,5]</w:t>
      </w:r>
      <w:r>
        <w:rPr>
          <w:lang w:eastAsia="zh-CN"/>
        </w:rPr>
        <w:t>。在随机分析一侧，</w:t>
      </w:r>
      <w:r>
        <w:rPr>
          <w:lang w:eastAsia="zh-CN"/>
        </w:rPr>
        <w:t xml:space="preserve">MOOSE </w:t>
      </w:r>
      <w:r>
        <w:rPr>
          <w:lang w:eastAsia="zh-CN"/>
        </w:rPr>
        <w:t>生态</w:t>
      </w:r>
      <w:r>
        <w:rPr>
          <w:lang w:eastAsia="zh-CN"/>
        </w:rPr>
        <w:t xml:space="preserve"> [6,7] </w:t>
      </w:r>
      <w:r>
        <w:rPr>
          <w:lang w:eastAsia="zh-CN"/>
        </w:rPr>
        <w:t>与数字孪生管线</w:t>
      </w:r>
      <w:r>
        <w:rPr>
          <w:lang w:eastAsia="zh-CN"/>
        </w:rPr>
        <w:t xml:space="preserve"> [8] </w:t>
      </w:r>
      <w:r>
        <w:rPr>
          <w:lang w:eastAsia="zh-CN"/>
        </w:rPr>
        <w:t>中的代理辅助模块分别处理前向传播、敏感性或标定。然而，上述工作为每类分析各自构建独立模型，三者之间缺乏共享的概率基础。</w:t>
      </w:r>
    </w:p>
    <w:p w:rsidR="00026D0F" w:rsidRDefault="00000000">
      <w:r>
        <w:t>Running probabilistic analyses directly on the coupled solver is impractical at ~10³ s per solve. Gaussian-process and polynomial-chaos surrogates face dimensionality and smoothness constraints in nonlinear coupled settings; physics-informed neural networks require a closed residual form that iterative solver exchange does not supply; deterministic neural networks scale well but produce only point predictions — none of these provides the coherent predictive distribution that forward propagation, sensitivity and calibration all require.</w:t>
      </w:r>
    </w:p>
    <w:p w:rsidR="00026D0F" w:rsidRDefault="00000000">
      <w:pPr>
        <w:rPr>
          <w:lang w:eastAsia="zh-CN"/>
        </w:rPr>
      </w:pPr>
      <w:r>
        <w:rPr>
          <w:lang w:eastAsia="zh-CN"/>
        </w:rPr>
        <w:t>在耦合求解器上直接开展概率分析不可行</w:t>
      </w:r>
      <w:r>
        <w:rPr>
          <w:lang w:eastAsia="zh-CN"/>
        </w:rPr>
        <w:t>——</w:t>
      </w:r>
      <w:r>
        <w:rPr>
          <w:lang w:eastAsia="zh-CN"/>
        </w:rPr>
        <w:t>每次求解约需</w:t>
      </w:r>
      <w:r>
        <w:rPr>
          <w:lang w:eastAsia="zh-CN"/>
        </w:rPr>
        <w:t xml:space="preserve"> 10³ s</w:t>
      </w:r>
      <w:r>
        <w:rPr>
          <w:lang w:eastAsia="zh-CN"/>
        </w:rPr>
        <w:t>。高斯过程与多项式混沌代理在非线性耦合设置下受维度与光滑性限制；物理信息神经网络需要闭合残差形式，而迭代求解器交换无法提供；确定性神经网络可扩展但仅产生点估计。上述方案均无法提供前向传播、敏感性与标定共同所需的连贯预测分布。</w:t>
      </w:r>
    </w:p>
    <w:p w:rsidR="00026D0F" w:rsidRDefault="00000000">
      <w:r>
        <w:t>A Bayesian neural network (BNN) places a distribution over the network weights, so that once trained it yields a posterior predictive distribution that can be sampled at negligible cost. The same distribution serves forward uncertainty propagation, variance-based sensitivity attribution and observation-conditioned posterior calibration, with no retraining or recalibration between them.</w:t>
      </w:r>
    </w:p>
    <w:p w:rsidR="00026D0F" w:rsidRDefault="00000000">
      <w:pPr>
        <w:rPr>
          <w:lang w:eastAsia="zh-CN"/>
        </w:rPr>
      </w:pPr>
      <w:r>
        <w:rPr>
          <w:lang w:eastAsia="zh-CN"/>
        </w:rPr>
        <w:lastRenderedPageBreak/>
        <w:t>贝叶斯神经网络（</w:t>
      </w:r>
      <w:r>
        <w:rPr>
          <w:lang w:eastAsia="zh-CN"/>
        </w:rPr>
        <w:t>BNN</w:t>
      </w:r>
      <w:r>
        <w:rPr>
          <w:lang w:eastAsia="zh-CN"/>
        </w:rPr>
        <w:t>）对权重引入分布，训练完成后即可以极低代价反复采样其后验预测分布。同一分布服务于前向不确定性传播、基于方差的敏感性归因与观测条件后验标定，三者之间无需重训或重新校准。</w:t>
      </w:r>
    </w:p>
    <w:p w:rsidR="00026D0F" w:rsidRDefault="00000000">
      <w:r>
        <w:t>We train such a BNN on coupled OpenMC–FEniCS data for a heat-pipe-cooled reactor and use its posterior predictive distribution as the shared basis for all three analyses. The forward propagation quantifies how coupling reshapes output uncertainty; the Sobol decomposition identifies which parameters govern stress versus reactivity; and the MCMC calibration contracts the parameter distribution toward observation-compatible regions. The entire workflow runs end-to-end on a single workstation because every evaluation is performed on the surrogate rather than on the coupled solver.</w:t>
      </w:r>
    </w:p>
    <w:p w:rsidR="00026D0F" w:rsidRDefault="00000000">
      <w:pPr>
        <w:rPr>
          <w:lang w:eastAsia="zh-CN"/>
        </w:rPr>
      </w:pPr>
      <w:r>
        <w:rPr>
          <w:lang w:eastAsia="zh-CN"/>
        </w:rPr>
        <w:t>本文在热管冷却反应堆的耦合</w:t>
      </w:r>
      <w:r>
        <w:rPr>
          <w:lang w:eastAsia="zh-CN"/>
        </w:rPr>
        <w:t xml:space="preserve"> OpenMC–FEniCS </w:t>
      </w:r>
      <w:r>
        <w:rPr>
          <w:lang w:eastAsia="zh-CN"/>
        </w:rPr>
        <w:t>数据上训练</w:t>
      </w:r>
      <w:r>
        <w:rPr>
          <w:lang w:eastAsia="zh-CN"/>
        </w:rPr>
        <w:t xml:space="preserve"> BNN</w:t>
      </w:r>
      <w:r>
        <w:rPr>
          <w:lang w:eastAsia="zh-CN"/>
        </w:rPr>
        <w:t>，以其后验预测分布作为三类分析的共享基础。前向传播量化耦合如何重塑输出不确定性；</w:t>
      </w:r>
      <w:r>
        <w:rPr>
          <w:lang w:eastAsia="zh-CN"/>
        </w:rPr>
        <w:t xml:space="preserve">Sobol </w:t>
      </w:r>
      <w:r>
        <w:rPr>
          <w:lang w:eastAsia="zh-CN"/>
        </w:rPr>
        <w:t>分解辨识哪些参数分别主导应力与反应性；</w:t>
      </w:r>
      <w:r>
        <w:rPr>
          <w:lang w:eastAsia="zh-CN"/>
        </w:rPr>
        <w:t xml:space="preserve">MCMC </w:t>
      </w:r>
      <w:r>
        <w:rPr>
          <w:lang w:eastAsia="zh-CN"/>
        </w:rPr>
        <w:t>标定将参数分布收敛至与观测相容的区域。因为所有评估均在代理上完成而非耦合求解器上，整套工作流可在单台工作站上端到端运行。</w:t>
      </w:r>
    </w:p>
    <w:p w:rsidR="00026D0F" w:rsidRDefault="00000000">
      <w:pPr>
        <w:pStyle w:val="1"/>
      </w:pPr>
      <w:r>
        <w:t xml:space="preserve">2. </w:t>
      </w:r>
      <w:r>
        <w:t>结果</w:t>
      </w:r>
      <w:r>
        <w:t xml:space="preserve"> / Results</w:t>
      </w:r>
    </w:p>
    <w:p w:rsidR="00026D0F" w:rsidRDefault="00000000">
      <w:pPr>
        <w:pStyle w:val="21"/>
      </w:pPr>
      <w:r>
        <w:t xml:space="preserve">2.1 </w:t>
      </w:r>
      <w:r>
        <w:t>代理精度</w:t>
      </w:r>
      <w:r>
        <w:t xml:space="preserve"> / Surrogate Accuracy</w:t>
      </w:r>
    </w:p>
    <w:p w:rsidR="00026D0F" w:rsidRDefault="00000000">
      <w:r>
        <w:t xml:space="preserve">The BNN predicts all 15 coupled and decoupled outputs simultaneously; the full accuracy table is in Appendix D. The main-text analyses focus on two outputs that bound separate safety margins: peak global stress in the SS316 monolith (structural integrity) and the multiplication factor </w:t>
      </w:r>
      <w:r>
        <w:rPr>
          <w:i/>
        </w:rPr>
        <w:t>k</w:t>
      </w:r>
      <w:r>
        <w:rPr>
          <w:vertAlign w:val="subscript"/>
        </w:rPr>
        <w:t>eff</w:t>
      </w:r>
      <w:r>
        <w:t xml:space="preserve"> (reactivity stability).</w:t>
      </w:r>
    </w:p>
    <w:p w:rsidR="00026D0F" w:rsidRDefault="00000000">
      <w:r>
        <w:t xml:space="preserve">On 435 held-out test samples, the surrogate achieves </w:t>
      </w:r>
      <w:r>
        <w:rPr>
          <w:i/>
        </w:rPr>
        <w:t>R</w:t>
      </w:r>
      <w:r>
        <w:rPr>
          <w:vertAlign w:val="subscript"/>
        </w:rPr>
        <w:t>²</w:t>
      </w:r>
      <w:r>
        <w:t xml:space="preserve"> = 0.910 for stress (RMSE 8.93 MPa, MAE 6.98 MPa) and </w:t>
      </w:r>
      <w:r>
        <w:rPr>
          <w:i/>
        </w:rPr>
        <w:t>R</w:t>
      </w:r>
      <w:r>
        <w:rPr>
          <w:vertAlign w:val="subscript"/>
        </w:rPr>
        <w:t>²</w:t>
      </w:r>
      <w:r>
        <w:t xml:space="preserve"> = 0.825 for </w:t>
      </w:r>
      <w:r>
        <w:rPr>
          <w:i/>
        </w:rPr>
        <w:t>k</w:t>
      </w:r>
      <w:r>
        <w:rPr>
          <w:vertAlign w:val="subscript"/>
        </w:rPr>
        <w:t>eff</w:t>
      </w:r>
      <w:r>
        <w:t xml:space="preserve"> (Table 2, Fig. 2A). The 90% predictive intervals are conservatively calibrated; incorporating physics-prior monotonicity constraints tightens them without reducing coverage (ablation in Appendix B).</w:t>
      </w:r>
    </w:p>
    <w:p w:rsidR="00026D0F" w:rsidRDefault="00000000">
      <w:r>
        <w:lastRenderedPageBreak/>
        <w:t>The accuracy is sufficient for the distribution-level analyses that follow: the downstream conclusions depend on the shape and spread of the propagated distribution, not on per-sample interval sharpness.</w:t>
      </w:r>
    </w:p>
    <w:p w:rsidR="00026D0F" w:rsidRDefault="00000000">
      <w:pPr>
        <w:rPr>
          <w:lang w:eastAsia="zh-CN"/>
        </w:rPr>
      </w:pPr>
      <w:r>
        <w:rPr>
          <w:lang w:eastAsia="zh-CN"/>
        </w:rPr>
        <w:t xml:space="preserve">BNN </w:t>
      </w:r>
      <w:r>
        <w:rPr>
          <w:lang w:eastAsia="zh-CN"/>
        </w:rPr>
        <w:t>同时预测全部</w:t>
      </w:r>
      <w:r>
        <w:rPr>
          <w:lang w:eastAsia="zh-CN"/>
        </w:rPr>
        <w:t xml:space="preserve"> 15 </w:t>
      </w:r>
      <w:r>
        <w:rPr>
          <w:lang w:eastAsia="zh-CN"/>
        </w:rPr>
        <w:t>个耦合与解耦输出，完整精度表见附录</w:t>
      </w:r>
      <w:r>
        <w:rPr>
          <w:lang w:eastAsia="zh-CN"/>
        </w:rPr>
        <w:t xml:space="preserve"> D</w:t>
      </w:r>
      <w:r>
        <w:rPr>
          <w:lang w:eastAsia="zh-CN"/>
        </w:rPr>
        <w:t>。正文聚焦分属不同安全裕量的两个输出：</w:t>
      </w:r>
      <w:r>
        <w:rPr>
          <w:lang w:eastAsia="zh-CN"/>
        </w:rPr>
        <w:t xml:space="preserve">SS316 </w:t>
      </w:r>
      <w:r>
        <w:rPr>
          <w:lang w:eastAsia="zh-CN"/>
        </w:rPr>
        <w:t>基体峰值全局应力（结构完整性）与中子增殖因子</w:t>
      </w:r>
      <w:r>
        <w:rPr>
          <w:lang w:eastAsia="zh-CN"/>
        </w:rPr>
        <w:t xml:space="preserve"> </w:t>
      </w:r>
      <w:r>
        <w:rPr>
          <w:i/>
          <w:lang w:eastAsia="zh-CN"/>
        </w:rPr>
        <w:t>k</w:t>
      </w:r>
      <w:r>
        <w:rPr>
          <w:vertAlign w:val="subscript"/>
          <w:lang w:eastAsia="zh-CN"/>
        </w:rPr>
        <w:t>eff</w:t>
      </w:r>
      <w:r>
        <w:rPr>
          <w:lang w:eastAsia="zh-CN"/>
        </w:rPr>
        <w:t>（反应性稳定性）。</w:t>
      </w:r>
    </w:p>
    <w:p w:rsidR="00026D0F" w:rsidRDefault="00000000">
      <w:pPr>
        <w:rPr>
          <w:lang w:eastAsia="zh-CN"/>
        </w:rPr>
      </w:pPr>
      <w:r>
        <w:rPr>
          <w:lang w:eastAsia="zh-CN"/>
        </w:rPr>
        <w:t>在</w:t>
      </w:r>
      <w:r>
        <w:rPr>
          <w:lang w:eastAsia="zh-CN"/>
        </w:rPr>
        <w:t xml:space="preserve"> 435 </w:t>
      </w:r>
      <w:r>
        <w:rPr>
          <w:lang w:eastAsia="zh-CN"/>
        </w:rPr>
        <w:t>个留出测试样本上，代理对应力预测</w:t>
      </w:r>
      <w:r>
        <w:rPr>
          <w:lang w:eastAsia="zh-CN"/>
        </w:rPr>
        <w:t xml:space="preserve"> </w:t>
      </w:r>
      <w:r>
        <w:rPr>
          <w:i/>
          <w:lang w:eastAsia="zh-CN"/>
        </w:rPr>
        <w:t>R</w:t>
      </w:r>
      <w:r>
        <w:rPr>
          <w:vertAlign w:val="subscript"/>
          <w:lang w:eastAsia="zh-CN"/>
        </w:rPr>
        <w:t>²</w:t>
      </w:r>
      <w:r>
        <w:rPr>
          <w:lang w:eastAsia="zh-CN"/>
        </w:rPr>
        <w:t xml:space="preserve"> = 0.910</w:t>
      </w:r>
      <w:r>
        <w:rPr>
          <w:lang w:eastAsia="zh-CN"/>
        </w:rPr>
        <w:t>（</w:t>
      </w:r>
      <w:r>
        <w:rPr>
          <w:lang w:eastAsia="zh-CN"/>
        </w:rPr>
        <w:t>RMSE 8.93 MPa</w:t>
      </w:r>
      <w:r>
        <w:rPr>
          <w:lang w:eastAsia="zh-CN"/>
        </w:rPr>
        <w:t>，</w:t>
      </w:r>
      <w:r>
        <w:rPr>
          <w:lang w:eastAsia="zh-CN"/>
        </w:rPr>
        <w:t xml:space="preserve"> MAE 6.98 MPa</w:t>
      </w:r>
      <w:r>
        <w:rPr>
          <w:lang w:eastAsia="zh-CN"/>
        </w:rPr>
        <w:t>），对</w:t>
      </w:r>
      <w:r>
        <w:rPr>
          <w:lang w:eastAsia="zh-CN"/>
        </w:rPr>
        <w:t xml:space="preserve"> </w:t>
      </w:r>
      <w:r>
        <w:rPr>
          <w:i/>
          <w:lang w:eastAsia="zh-CN"/>
        </w:rPr>
        <w:t>k</w:t>
      </w:r>
      <w:r>
        <w:rPr>
          <w:vertAlign w:val="subscript"/>
          <w:lang w:eastAsia="zh-CN"/>
        </w:rPr>
        <w:t>eff</w:t>
      </w:r>
      <w:r>
        <w:rPr>
          <w:lang w:eastAsia="zh-CN"/>
        </w:rPr>
        <w:t xml:space="preserve"> </w:t>
      </w:r>
      <w:r>
        <w:rPr>
          <w:lang w:eastAsia="zh-CN"/>
        </w:rPr>
        <w:t>预测</w:t>
      </w:r>
      <w:r>
        <w:rPr>
          <w:lang w:eastAsia="zh-CN"/>
        </w:rPr>
        <w:t xml:space="preserve"> </w:t>
      </w:r>
      <w:r>
        <w:rPr>
          <w:i/>
          <w:lang w:eastAsia="zh-CN"/>
        </w:rPr>
        <w:t>R</w:t>
      </w:r>
      <w:r>
        <w:rPr>
          <w:vertAlign w:val="subscript"/>
          <w:lang w:eastAsia="zh-CN"/>
        </w:rPr>
        <w:t>²</w:t>
      </w:r>
      <w:r>
        <w:rPr>
          <w:lang w:eastAsia="zh-CN"/>
        </w:rPr>
        <w:t xml:space="preserve"> = 0.825</w:t>
      </w:r>
      <w:r>
        <w:rPr>
          <w:lang w:eastAsia="zh-CN"/>
        </w:rPr>
        <w:t>（表</w:t>
      </w:r>
      <w:r>
        <w:rPr>
          <w:lang w:eastAsia="zh-CN"/>
        </w:rPr>
        <w:t xml:space="preserve"> 2</w:t>
      </w:r>
      <w:r>
        <w:rPr>
          <w:lang w:eastAsia="zh-CN"/>
        </w:rPr>
        <w:t>、图</w:t>
      </w:r>
      <w:r>
        <w:rPr>
          <w:lang w:eastAsia="zh-CN"/>
        </w:rPr>
        <w:t xml:space="preserve"> 2A</w:t>
      </w:r>
      <w:r>
        <w:rPr>
          <w:lang w:eastAsia="zh-CN"/>
        </w:rPr>
        <w:t>）。</w:t>
      </w:r>
      <w:r>
        <w:rPr>
          <w:lang w:eastAsia="zh-CN"/>
        </w:rPr>
        <w:t xml:space="preserve">90% </w:t>
      </w:r>
      <w:r>
        <w:rPr>
          <w:lang w:eastAsia="zh-CN"/>
        </w:rPr>
        <w:t>预测区间为保守标定；引入物理先验单调性约束后区间收窄而覆盖率不降（消融见附录</w:t>
      </w:r>
      <w:r>
        <w:rPr>
          <w:lang w:eastAsia="zh-CN"/>
        </w:rPr>
        <w:t xml:space="preserve"> B</w:t>
      </w:r>
      <w:r>
        <w:rPr>
          <w:lang w:eastAsia="zh-CN"/>
        </w:rPr>
        <w:t>）。该精度足以支撑后续分布层面分析：下游结论取决于传播分布的形态与展宽，而非逐样本的区间锐度。</w:t>
      </w:r>
    </w:p>
    <w:p w:rsidR="00026D0F" w:rsidRDefault="00000000">
      <w:pPr>
        <w:pStyle w:val="21"/>
      </w:pPr>
      <w:r>
        <w:t xml:space="preserve">2.2 </w:t>
      </w:r>
      <w:r>
        <w:t>前向不确定性传播</w:t>
      </w:r>
      <w:r>
        <w:t xml:space="preserve"> / Forward Uncertainty Propagation</w:t>
      </w:r>
    </w:p>
    <w:p w:rsidR="00026D0F" w:rsidRDefault="00000000">
      <w:r>
        <w:t>Propagating 20,000 Latin hypercube samples through the BNN posterior- predictive mean yields a coupled stress distribution with mean 162.5 MPa and standard deviation 35.5 MPa, versus a decoupled mean of 202.4 MPa and standard deviation of 49.2 MPa. Coupling reduces the stress standard deviation by ≈ 28% and lowers the mean by ≈ 40 MPa (Table 4, Fig. 3).</w:t>
      </w:r>
    </w:p>
    <w:p w:rsidR="00026D0F" w:rsidRDefault="00000000">
      <w:pPr>
        <w:rPr>
          <w:lang w:eastAsia="zh-CN"/>
        </w:rPr>
      </w:pPr>
      <w:r>
        <w:rPr>
          <w:lang w:eastAsia="zh-CN"/>
        </w:rPr>
        <w:t>将</w:t>
      </w:r>
      <w:r>
        <w:rPr>
          <w:lang w:eastAsia="zh-CN"/>
        </w:rPr>
        <w:t xml:space="preserve"> 20,000 </w:t>
      </w:r>
      <w:r>
        <w:rPr>
          <w:lang w:eastAsia="zh-CN"/>
        </w:rPr>
        <w:t>个拉丁超立方样本通过</w:t>
      </w:r>
      <w:r>
        <w:rPr>
          <w:lang w:eastAsia="zh-CN"/>
        </w:rPr>
        <w:t xml:space="preserve"> BNN </w:t>
      </w:r>
      <w:r>
        <w:rPr>
          <w:lang w:eastAsia="zh-CN"/>
        </w:rPr>
        <w:t>后验预测均值传播，所得耦合应力分布均值</w:t>
      </w:r>
      <w:r>
        <w:rPr>
          <w:lang w:eastAsia="zh-CN"/>
        </w:rPr>
        <w:t xml:space="preserve"> 162.5 MPa</w:t>
      </w:r>
      <w:r>
        <w:rPr>
          <w:lang w:eastAsia="zh-CN"/>
        </w:rPr>
        <w:t>、标准差</w:t>
      </w:r>
      <w:r>
        <w:rPr>
          <w:lang w:eastAsia="zh-CN"/>
        </w:rPr>
        <w:t xml:space="preserve"> 35.5 MPa</w:t>
      </w:r>
      <w:r>
        <w:rPr>
          <w:lang w:eastAsia="zh-CN"/>
        </w:rPr>
        <w:t>，解耦预测均值</w:t>
      </w:r>
      <w:r>
        <w:rPr>
          <w:lang w:eastAsia="zh-CN"/>
        </w:rPr>
        <w:t xml:space="preserve"> 202.4 MPa</w:t>
      </w:r>
      <w:r>
        <w:rPr>
          <w:lang w:eastAsia="zh-CN"/>
        </w:rPr>
        <w:t>、标准差</w:t>
      </w:r>
      <w:r>
        <w:rPr>
          <w:lang w:eastAsia="zh-CN"/>
        </w:rPr>
        <w:t xml:space="preserve"> 49.2 MPa</w:t>
      </w:r>
      <w:r>
        <w:rPr>
          <w:lang w:eastAsia="zh-CN"/>
        </w:rPr>
        <w:t>。耦合使应力标准差降低约</w:t>
      </w:r>
      <w:r>
        <w:rPr>
          <w:lang w:eastAsia="zh-CN"/>
        </w:rPr>
        <w:t xml:space="preserve"> 28%</w:t>
      </w:r>
      <w:r>
        <w:rPr>
          <w:lang w:eastAsia="zh-CN"/>
        </w:rPr>
        <w:t>，均值下移约</w:t>
      </w:r>
      <w:r>
        <w:rPr>
          <w:lang w:eastAsia="zh-CN"/>
        </w:rPr>
        <w:t xml:space="preserve"> 40 MPa </w:t>
      </w:r>
      <w:r>
        <w:rPr>
          <w:lang w:eastAsia="zh-CN"/>
        </w:rPr>
        <w:t>（表</w:t>
      </w:r>
      <w:r>
        <w:rPr>
          <w:lang w:eastAsia="zh-CN"/>
        </w:rPr>
        <w:t xml:space="preserve"> 4</w:t>
      </w:r>
      <w:r>
        <w:rPr>
          <w:lang w:eastAsia="zh-CN"/>
        </w:rPr>
        <w:t>、图</w:t>
      </w:r>
      <w:r>
        <w:rPr>
          <w:lang w:eastAsia="zh-CN"/>
        </w:rPr>
        <w:t xml:space="preserve"> 3</w:t>
      </w:r>
      <w:r>
        <w:rPr>
          <w:lang w:eastAsia="zh-CN"/>
        </w:rPr>
        <w:t>）。</w:t>
      </w:r>
    </w:p>
    <w:p w:rsidR="00026D0F" w:rsidRDefault="00000000">
      <w:r>
        <w:t xml:space="preserve">The coupled </w:t>
      </w:r>
      <w:r>
        <w:rPr>
          <w:i/>
        </w:rPr>
        <w:t>k</w:t>
      </w:r>
      <w:r>
        <w:rPr>
          <w:vertAlign w:val="subscript"/>
        </w:rPr>
        <w:t>eff</w:t>
      </w:r>
      <w:r>
        <w:t xml:space="preserve"> has mean 1.1036 and standard deviation ≈ 107 pcm. The decoupled </w:t>
      </w:r>
      <w:r>
        <w:rPr>
          <w:i/>
        </w:rPr>
        <w:t>k</w:t>
      </w:r>
      <w:r>
        <w:rPr>
          <w:vertAlign w:val="subscript"/>
        </w:rPr>
        <w:t>eff</w:t>
      </w:r>
      <w:r>
        <w:t xml:space="preserve"> is effectively constant because, at the reference geometry, the sampled material parameters do not enter the neutronic cross-section tables; all coupled </w:t>
      </w:r>
      <w:r>
        <w:rPr>
          <w:i/>
        </w:rPr>
        <w:t>k</w:t>
      </w:r>
      <w:r>
        <w:rPr>
          <w:vertAlign w:val="subscript"/>
        </w:rPr>
        <w:t>eff</w:t>
      </w:r>
      <w:r>
        <w:t xml:space="preserve"> variability originates from thermal-expansion modification of core geometry.</w:t>
      </w:r>
    </w:p>
    <w:p w:rsidR="00026D0F" w:rsidRDefault="00000000">
      <w:pPr>
        <w:rPr>
          <w:lang w:eastAsia="zh-CN"/>
        </w:rPr>
      </w:pPr>
      <w:r>
        <w:rPr>
          <w:lang w:eastAsia="zh-CN"/>
        </w:rPr>
        <w:t>耦合</w:t>
      </w:r>
      <w:r>
        <w:rPr>
          <w:lang w:eastAsia="zh-CN"/>
        </w:rPr>
        <w:t xml:space="preserve"> </w:t>
      </w:r>
      <w:r>
        <w:rPr>
          <w:i/>
          <w:lang w:eastAsia="zh-CN"/>
        </w:rPr>
        <w:t>k</w:t>
      </w:r>
      <w:r>
        <w:rPr>
          <w:vertAlign w:val="subscript"/>
          <w:lang w:eastAsia="zh-CN"/>
        </w:rPr>
        <w:t>eff</w:t>
      </w:r>
      <w:r>
        <w:rPr>
          <w:lang w:eastAsia="zh-CN"/>
        </w:rPr>
        <w:t xml:space="preserve"> </w:t>
      </w:r>
      <w:r>
        <w:rPr>
          <w:lang w:eastAsia="zh-CN"/>
        </w:rPr>
        <w:t>均值</w:t>
      </w:r>
      <w:r>
        <w:rPr>
          <w:lang w:eastAsia="zh-CN"/>
        </w:rPr>
        <w:t xml:space="preserve"> 1.1036</w:t>
      </w:r>
      <w:r>
        <w:rPr>
          <w:lang w:eastAsia="zh-CN"/>
        </w:rPr>
        <w:t>，标准差约</w:t>
      </w:r>
      <w:r>
        <w:rPr>
          <w:lang w:eastAsia="zh-CN"/>
        </w:rPr>
        <w:t xml:space="preserve"> 107 pcm</w:t>
      </w:r>
      <w:r>
        <w:rPr>
          <w:lang w:eastAsia="zh-CN"/>
        </w:rPr>
        <w:t>。解耦</w:t>
      </w:r>
      <w:r>
        <w:rPr>
          <w:lang w:eastAsia="zh-CN"/>
        </w:rPr>
        <w:t xml:space="preserve"> </w:t>
      </w:r>
      <w:r>
        <w:rPr>
          <w:i/>
          <w:lang w:eastAsia="zh-CN"/>
        </w:rPr>
        <w:t>k</w:t>
      </w:r>
      <w:r>
        <w:rPr>
          <w:vertAlign w:val="subscript"/>
          <w:lang w:eastAsia="zh-CN"/>
        </w:rPr>
        <w:t>eff</w:t>
      </w:r>
      <w:r>
        <w:rPr>
          <w:lang w:eastAsia="zh-CN"/>
        </w:rPr>
        <w:t xml:space="preserve"> </w:t>
      </w:r>
      <w:r>
        <w:rPr>
          <w:lang w:eastAsia="zh-CN"/>
        </w:rPr>
        <w:t>几乎为常数，因为参考几何下采样材料参数不进入中子截面表；耦合</w:t>
      </w:r>
      <w:r>
        <w:rPr>
          <w:lang w:eastAsia="zh-CN"/>
        </w:rPr>
        <w:t xml:space="preserve"> </w:t>
      </w:r>
      <w:r>
        <w:rPr>
          <w:i/>
          <w:lang w:eastAsia="zh-CN"/>
        </w:rPr>
        <w:t>k</w:t>
      </w:r>
      <w:r>
        <w:rPr>
          <w:vertAlign w:val="subscript"/>
          <w:lang w:eastAsia="zh-CN"/>
        </w:rPr>
        <w:t>eff</w:t>
      </w:r>
      <w:r>
        <w:rPr>
          <w:lang w:eastAsia="zh-CN"/>
        </w:rPr>
        <w:t xml:space="preserve"> </w:t>
      </w:r>
      <w:r>
        <w:rPr>
          <w:lang w:eastAsia="zh-CN"/>
        </w:rPr>
        <w:t>的全部展宽来自热膨胀对堆芯几何的改变。</w:t>
      </w:r>
    </w:p>
    <w:p w:rsidR="00026D0F" w:rsidRDefault="00000000">
      <w:pPr>
        <w:pStyle w:val="21"/>
      </w:pPr>
      <w:r>
        <w:lastRenderedPageBreak/>
        <w:t xml:space="preserve">2.3 </w:t>
      </w:r>
      <w:r>
        <w:t>全局敏感性分析</w:t>
      </w:r>
      <w:r>
        <w:t xml:space="preserve"> / Global Sensitivity Analysis</w:t>
      </w:r>
    </w:p>
    <w:p w:rsidR="00026D0F" w:rsidRDefault="00000000">
      <w:r>
        <w:t xml:space="preserve">Sobol analysis (50 independent replications; full index table in Appendix C) shows that stress and </w:t>
      </w:r>
      <w:r>
        <w:rPr>
          <w:i/>
        </w:rPr>
        <w:t>k</w:t>
      </w:r>
      <w:r>
        <w:rPr>
          <w:vertAlign w:val="subscript"/>
        </w:rPr>
        <w:t>eff</w:t>
      </w:r>
      <w:r>
        <w:t xml:space="preserve"> are governed by two largely separate physical pathways (Table 5, Fig. 4).</w:t>
      </w:r>
    </w:p>
    <w:p w:rsidR="00026D0F" w:rsidRDefault="00000000">
      <w:pPr>
        <w:rPr>
          <w:lang w:eastAsia="zh-CN"/>
        </w:rPr>
      </w:pPr>
      <w:r>
        <w:rPr>
          <w:lang w:eastAsia="zh-CN"/>
        </w:rPr>
        <w:t>基于方差的</w:t>
      </w:r>
      <w:r>
        <w:rPr>
          <w:lang w:eastAsia="zh-CN"/>
        </w:rPr>
        <w:t xml:space="preserve"> Sobol </w:t>
      </w:r>
      <w:r>
        <w:rPr>
          <w:lang w:eastAsia="zh-CN"/>
        </w:rPr>
        <w:t>分析（</w:t>
      </w:r>
      <w:r>
        <w:rPr>
          <w:lang w:eastAsia="zh-CN"/>
        </w:rPr>
        <w:t xml:space="preserve">50 </w:t>
      </w:r>
      <w:r>
        <w:rPr>
          <w:lang w:eastAsia="zh-CN"/>
        </w:rPr>
        <w:t>次独立重复；完整指数表见附录</w:t>
      </w:r>
      <w:r>
        <w:rPr>
          <w:lang w:eastAsia="zh-CN"/>
        </w:rPr>
        <w:t xml:space="preserve"> C</w:t>
      </w:r>
      <w:r>
        <w:rPr>
          <w:lang w:eastAsia="zh-CN"/>
        </w:rPr>
        <w:t>）表明应力与</w:t>
      </w:r>
      <w:r>
        <w:rPr>
          <w:lang w:eastAsia="zh-CN"/>
        </w:rPr>
        <w:t xml:space="preserve"> </w:t>
      </w:r>
      <w:r>
        <w:rPr>
          <w:i/>
          <w:lang w:eastAsia="zh-CN"/>
        </w:rPr>
        <w:t>k</w:t>
      </w:r>
      <w:r>
        <w:rPr>
          <w:vertAlign w:val="subscript"/>
          <w:lang w:eastAsia="zh-CN"/>
        </w:rPr>
        <w:t>eff</w:t>
      </w:r>
      <w:r>
        <w:rPr>
          <w:lang w:eastAsia="zh-CN"/>
        </w:rPr>
        <w:t xml:space="preserve"> </w:t>
      </w:r>
      <w:r>
        <w:rPr>
          <w:lang w:eastAsia="zh-CN"/>
        </w:rPr>
        <w:t>分别受制于两条基本独立的物理通道（表</w:t>
      </w:r>
      <w:r>
        <w:rPr>
          <w:lang w:eastAsia="zh-CN"/>
        </w:rPr>
        <w:t xml:space="preserve"> 5</w:t>
      </w:r>
      <w:r>
        <w:rPr>
          <w:lang w:eastAsia="zh-CN"/>
        </w:rPr>
        <w:t>，图</w:t>
      </w:r>
      <w:r>
        <w:rPr>
          <w:lang w:eastAsia="zh-CN"/>
        </w:rPr>
        <w:t xml:space="preserve"> 4</w:t>
      </w:r>
      <w:r>
        <w:rPr>
          <w:lang w:eastAsia="zh-CN"/>
        </w:rPr>
        <w:t>）。</w:t>
      </w:r>
    </w:p>
    <w:p w:rsidR="00026D0F" w:rsidRDefault="00000000">
      <w:r>
        <w:t xml:space="preserve">Stress is rooted in the elastic-constitutive pathway. </w:t>
      </w:r>
      <w:r>
        <w:rPr>
          <w:i/>
        </w:rPr>
        <w:t>E</w:t>
      </w:r>
      <w:r>
        <w:rPr>
          <w:vertAlign w:val="subscript"/>
        </w:rPr>
        <w:t>intercept</w:t>
      </w:r>
      <w:r>
        <w:t xml:space="preserve"> alone accounts for ≈ 56% of the first-order variance (S₁ ≈ 0.56), and the near-zero gap between its total-order and first-order indices (S_T − S₁ ≈ 0.04) indicates that it acts with minimal interaction. Secondary contributors — α</w:t>
      </w:r>
      <w:r>
        <w:rPr>
          <w:vertAlign w:val="subscript"/>
        </w:rPr>
        <w:t>base</w:t>
      </w:r>
      <w:r>
        <w:t xml:space="preserve">, </w:t>
      </w:r>
      <w:r>
        <w:rPr>
          <w:i/>
        </w:rPr>
        <w:t>k</w:t>
      </w:r>
      <w:r>
        <w:rPr>
          <w:vertAlign w:val="subscript"/>
        </w:rPr>
        <w:t>ref</w:t>
      </w:r>
      <w:r>
        <w:t xml:space="preserve"> and ν — add a collective ≈ 15%, while the remaining four parameters are negligible. The dominance of </w:t>
      </w:r>
      <w:r>
        <w:rPr>
          <w:i/>
        </w:rPr>
        <w:t>E</w:t>
      </w:r>
      <w:r>
        <w:rPr>
          <w:vertAlign w:val="subscript"/>
        </w:rPr>
        <w:t>intercept</w:t>
      </w:r>
      <w:r>
        <w:t xml:space="preserve"> is a direct consequence of the generalised Hooke's law σ = C(E, ν) · ε: stiffness enters the stress field linearly.</w:t>
      </w:r>
    </w:p>
    <w:p w:rsidR="00026D0F" w:rsidRDefault="00000000">
      <w:pPr>
        <w:rPr>
          <w:lang w:eastAsia="zh-CN"/>
        </w:rPr>
      </w:pPr>
      <w:r>
        <w:rPr>
          <w:lang w:eastAsia="zh-CN"/>
        </w:rPr>
        <w:t>应力根植于弹性本构通道。</w:t>
      </w:r>
      <w:r>
        <w:rPr>
          <w:i/>
          <w:lang w:eastAsia="zh-CN"/>
        </w:rPr>
        <w:t>E</w:t>
      </w:r>
      <w:r>
        <w:rPr>
          <w:vertAlign w:val="subscript"/>
          <w:lang w:eastAsia="zh-CN"/>
        </w:rPr>
        <w:t>intercept</w:t>
      </w:r>
      <w:r>
        <w:rPr>
          <w:lang w:eastAsia="zh-CN"/>
        </w:rPr>
        <w:t xml:space="preserve"> </w:t>
      </w:r>
      <w:r>
        <w:rPr>
          <w:lang w:eastAsia="zh-CN"/>
        </w:rPr>
        <w:t>单独解释约</w:t>
      </w:r>
      <w:r>
        <w:rPr>
          <w:lang w:eastAsia="zh-CN"/>
        </w:rPr>
        <w:t xml:space="preserve"> 56% </w:t>
      </w:r>
      <w:r>
        <w:rPr>
          <w:lang w:eastAsia="zh-CN"/>
        </w:rPr>
        <w:t>的一阶方差（</w:t>
      </w:r>
      <w:r>
        <w:rPr>
          <w:lang w:eastAsia="zh-CN"/>
        </w:rPr>
        <w:t>S₁ ≈ 0.56</w:t>
      </w:r>
      <w:r>
        <w:rPr>
          <w:lang w:eastAsia="zh-CN"/>
        </w:rPr>
        <w:t>），其总阶与一阶指数之差接近零（</w:t>
      </w:r>
      <w:r>
        <w:rPr>
          <w:lang w:eastAsia="zh-CN"/>
        </w:rPr>
        <w:t>S_T − S₁ ≈ 0.04</w:t>
      </w:r>
      <w:r>
        <w:rPr>
          <w:lang w:eastAsia="zh-CN"/>
        </w:rPr>
        <w:t>），表明交互效应极弱。次级贡献者</w:t>
      </w:r>
      <w:r>
        <w:rPr>
          <w:lang w:eastAsia="zh-CN"/>
        </w:rPr>
        <w:t>——</w:t>
      </w:r>
      <w:r>
        <w:t>α</w:t>
      </w:r>
      <w:r>
        <w:rPr>
          <w:vertAlign w:val="subscript"/>
          <w:lang w:eastAsia="zh-CN"/>
        </w:rPr>
        <w:t>base</w:t>
      </w:r>
      <w:r>
        <w:rPr>
          <w:lang w:eastAsia="zh-CN"/>
        </w:rPr>
        <w:t>、</w:t>
      </w:r>
      <w:r>
        <w:rPr>
          <w:i/>
          <w:lang w:eastAsia="zh-CN"/>
        </w:rPr>
        <w:t>k</w:t>
      </w:r>
      <w:r>
        <w:rPr>
          <w:vertAlign w:val="subscript"/>
          <w:lang w:eastAsia="zh-CN"/>
        </w:rPr>
        <w:t>ref</w:t>
      </w:r>
      <w:r>
        <w:rPr>
          <w:lang w:eastAsia="zh-CN"/>
        </w:rPr>
        <w:t xml:space="preserve"> </w:t>
      </w:r>
      <w:r>
        <w:rPr>
          <w:lang w:eastAsia="zh-CN"/>
        </w:rPr>
        <w:t>与</w:t>
      </w:r>
      <w:r>
        <w:rPr>
          <w:lang w:eastAsia="zh-CN"/>
        </w:rPr>
        <w:t xml:space="preserve"> </w:t>
      </w:r>
      <w:r>
        <w:t>ν</w:t>
      </w:r>
      <w:r>
        <w:rPr>
          <w:lang w:eastAsia="zh-CN"/>
        </w:rPr>
        <w:t>——</w:t>
      </w:r>
      <w:r>
        <w:rPr>
          <w:lang w:eastAsia="zh-CN"/>
        </w:rPr>
        <w:t>合计约</w:t>
      </w:r>
      <w:r>
        <w:rPr>
          <w:lang w:eastAsia="zh-CN"/>
        </w:rPr>
        <w:t xml:space="preserve"> 15%</w:t>
      </w:r>
      <w:r>
        <w:rPr>
          <w:lang w:eastAsia="zh-CN"/>
        </w:rPr>
        <w:t>，其余四个参数可忽略。</w:t>
      </w:r>
      <w:r>
        <w:rPr>
          <w:i/>
          <w:lang w:eastAsia="zh-CN"/>
        </w:rPr>
        <w:t>E</w:t>
      </w:r>
      <w:r>
        <w:rPr>
          <w:vertAlign w:val="subscript"/>
          <w:lang w:eastAsia="zh-CN"/>
        </w:rPr>
        <w:t>intercept</w:t>
      </w:r>
      <w:r>
        <w:rPr>
          <w:lang w:eastAsia="zh-CN"/>
        </w:rPr>
        <w:t xml:space="preserve"> </w:t>
      </w:r>
      <w:r>
        <w:rPr>
          <w:lang w:eastAsia="zh-CN"/>
        </w:rPr>
        <w:t>的主导地位直接来自广义胡克定律</w:t>
      </w:r>
      <w:r>
        <w:rPr>
          <w:lang w:eastAsia="zh-CN"/>
        </w:rPr>
        <w:t xml:space="preserve"> </w:t>
      </w:r>
      <w:r>
        <w:t>σ</w:t>
      </w:r>
      <w:r>
        <w:rPr>
          <w:lang w:eastAsia="zh-CN"/>
        </w:rPr>
        <w:t xml:space="preserve"> = C(E, </w:t>
      </w:r>
      <w:r>
        <w:t>ν</w:t>
      </w:r>
      <w:r>
        <w:rPr>
          <w:lang w:eastAsia="zh-CN"/>
        </w:rPr>
        <w:t xml:space="preserve">) · </w:t>
      </w:r>
      <w:r>
        <w:t>ε</w:t>
      </w:r>
      <w:r>
        <w:rPr>
          <w:lang w:eastAsia="zh-CN"/>
        </w:rPr>
        <w:t>：刚度线性进入应力场。</w:t>
      </w:r>
    </w:p>
    <w:p w:rsidR="00026D0F" w:rsidRDefault="00000000">
      <w:r>
        <w:rPr>
          <w:i/>
        </w:rPr>
        <w:t>k</w:t>
      </w:r>
      <w:r>
        <w:rPr>
          <w:vertAlign w:val="subscript"/>
        </w:rPr>
        <w:t>eff</w:t>
      </w:r>
      <w:r>
        <w:t xml:space="preserve"> is rooted in the thermal-expansion pathway. α</w:t>
      </w:r>
      <w:r>
        <w:rPr>
          <w:vertAlign w:val="subscript"/>
        </w:rPr>
        <w:t>base</w:t>
      </w:r>
      <w:r>
        <w:t xml:space="preserve"> accounts for ≈ 74% of the first-order variance (S₁ ≈ 0.74): it sets the magnitude of geometric expansion, which alters neutron leakage and shifts the neutronic balance. α</w:t>
      </w:r>
      <w:r>
        <w:rPr>
          <w:vertAlign w:val="subscript"/>
        </w:rPr>
        <w:t>slope</w:t>
      </w:r>
      <w:r>
        <w:t xml:space="preserve"> contributes a further ≈ 8%, while no elasticity or conductivity parameter has a first-order effect on reactivity above the noise floor.</w:t>
      </w:r>
    </w:p>
    <w:p w:rsidR="00026D0F" w:rsidRDefault="00000000">
      <w:pPr>
        <w:rPr>
          <w:lang w:eastAsia="zh-CN"/>
        </w:rPr>
      </w:pPr>
      <w:r>
        <w:rPr>
          <w:i/>
          <w:lang w:eastAsia="zh-CN"/>
        </w:rPr>
        <w:t>k</w:t>
      </w:r>
      <w:r>
        <w:rPr>
          <w:vertAlign w:val="subscript"/>
          <w:lang w:eastAsia="zh-CN"/>
        </w:rPr>
        <w:t>eff</w:t>
      </w:r>
      <w:r>
        <w:rPr>
          <w:lang w:eastAsia="zh-CN"/>
        </w:rPr>
        <w:t xml:space="preserve"> </w:t>
      </w:r>
      <w:r>
        <w:rPr>
          <w:lang w:eastAsia="zh-CN"/>
        </w:rPr>
        <w:t>根植于热膨胀通道。</w:t>
      </w:r>
      <w:r>
        <w:t>α</w:t>
      </w:r>
      <w:r>
        <w:rPr>
          <w:vertAlign w:val="subscript"/>
          <w:lang w:eastAsia="zh-CN"/>
        </w:rPr>
        <w:t>base</w:t>
      </w:r>
      <w:r>
        <w:rPr>
          <w:lang w:eastAsia="zh-CN"/>
        </w:rPr>
        <w:t xml:space="preserve"> </w:t>
      </w:r>
      <w:r>
        <w:rPr>
          <w:lang w:eastAsia="zh-CN"/>
        </w:rPr>
        <w:t>解释约</w:t>
      </w:r>
      <w:r>
        <w:rPr>
          <w:lang w:eastAsia="zh-CN"/>
        </w:rPr>
        <w:t xml:space="preserve"> 74% </w:t>
      </w:r>
      <w:r>
        <w:rPr>
          <w:lang w:eastAsia="zh-CN"/>
        </w:rPr>
        <w:t>的一阶方差（</w:t>
      </w:r>
      <w:r>
        <w:rPr>
          <w:lang w:eastAsia="zh-CN"/>
        </w:rPr>
        <w:t>S₁ ≈ 0.74</w:t>
      </w:r>
      <w:r>
        <w:rPr>
          <w:lang w:eastAsia="zh-CN"/>
        </w:rPr>
        <w:t>）：它决定几何膨胀幅度，进而改变中子泄漏并偏移中子平衡。</w:t>
      </w:r>
      <w:r>
        <w:t>α</w:t>
      </w:r>
      <w:r>
        <w:rPr>
          <w:vertAlign w:val="subscript"/>
          <w:lang w:eastAsia="zh-CN"/>
        </w:rPr>
        <w:t>slope</w:t>
      </w:r>
      <w:r>
        <w:rPr>
          <w:lang w:eastAsia="zh-CN"/>
        </w:rPr>
        <w:t xml:space="preserve"> </w:t>
      </w:r>
      <w:r>
        <w:rPr>
          <w:lang w:eastAsia="zh-CN"/>
        </w:rPr>
        <w:t>额外贡献约</w:t>
      </w:r>
      <w:r>
        <w:rPr>
          <w:lang w:eastAsia="zh-CN"/>
        </w:rPr>
        <w:t xml:space="preserve"> 8%</w:t>
      </w:r>
      <w:r>
        <w:rPr>
          <w:lang w:eastAsia="zh-CN"/>
        </w:rPr>
        <w:t>，弹性与导热参数对反应性均无超出噪底的一阶效应。</w:t>
      </w:r>
    </w:p>
    <w:p w:rsidR="00026D0F" w:rsidRDefault="00000000">
      <w:r>
        <w:t xml:space="preserve">The two pathways share almost no dominant parameters. This separation means that stress and </w:t>
      </w:r>
      <w:r>
        <w:rPr>
          <w:i/>
        </w:rPr>
        <w:t>k</w:t>
      </w:r>
      <w:r>
        <w:rPr>
          <w:vertAlign w:val="subscript"/>
        </w:rPr>
        <w:t>eff</w:t>
      </w:r>
      <w:r>
        <w:t xml:space="preserve"> observations constrain different regions of the material-parameter space: stress primarily constrains elastic properties, </w:t>
      </w:r>
      <w:r>
        <w:rPr>
          <w:i/>
        </w:rPr>
        <w:t>k</w:t>
      </w:r>
      <w:r>
        <w:rPr>
          <w:vertAlign w:val="subscript"/>
        </w:rPr>
        <w:t>eff</w:t>
      </w:r>
      <w:r>
        <w:t xml:space="preserve"> primarily constrains thermal-expansion properties. Neither output alone can substitute for the other in calibration or experimental design — an important constraint for any monitoring strategy that aims to reduce material-property uncertainty.</w:t>
      </w:r>
    </w:p>
    <w:p w:rsidR="00026D0F" w:rsidRDefault="00000000">
      <w:pPr>
        <w:rPr>
          <w:lang w:eastAsia="zh-CN"/>
        </w:rPr>
      </w:pPr>
      <w:r>
        <w:rPr>
          <w:lang w:eastAsia="zh-CN"/>
        </w:rPr>
        <w:lastRenderedPageBreak/>
        <w:t>两条通道几乎不共享主控参数。这一分离意味着应力与</w:t>
      </w:r>
      <w:r>
        <w:rPr>
          <w:lang w:eastAsia="zh-CN"/>
        </w:rPr>
        <w:t xml:space="preserve"> </w:t>
      </w:r>
      <w:r>
        <w:rPr>
          <w:i/>
          <w:lang w:eastAsia="zh-CN"/>
        </w:rPr>
        <w:t>k</w:t>
      </w:r>
      <w:r>
        <w:rPr>
          <w:vertAlign w:val="subscript"/>
          <w:lang w:eastAsia="zh-CN"/>
        </w:rPr>
        <w:t>eff</w:t>
      </w:r>
      <w:r>
        <w:rPr>
          <w:lang w:eastAsia="zh-CN"/>
        </w:rPr>
        <w:t xml:space="preserve"> </w:t>
      </w:r>
      <w:r>
        <w:rPr>
          <w:lang w:eastAsia="zh-CN"/>
        </w:rPr>
        <w:t>观测分别约束材料参数空间的不同区域：应力主要约束弹性性质，</w:t>
      </w:r>
      <w:r>
        <w:rPr>
          <w:i/>
          <w:lang w:eastAsia="zh-CN"/>
        </w:rPr>
        <w:t>k</w:t>
      </w:r>
      <w:r>
        <w:rPr>
          <w:vertAlign w:val="subscript"/>
          <w:lang w:eastAsia="zh-CN"/>
        </w:rPr>
        <w:t>eff</w:t>
      </w:r>
      <w:r>
        <w:rPr>
          <w:lang w:eastAsia="zh-CN"/>
        </w:rPr>
        <w:t xml:space="preserve"> </w:t>
      </w:r>
      <w:r>
        <w:rPr>
          <w:lang w:eastAsia="zh-CN"/>
        </w:rPr>
        <w:t>主要约束热膨胀性质。两类输出在标定或实验设计中不可互相替代</w:t>
      </w:r>
      <w:r>
        <w:rPr>
          <w:lang w:eastAsia="zh-CN"/>
        </w:rPr>
        <w:t>——</w:t>
      </w:r>
      <w:r>
        <w:rPr>
          <w:lang w:eastAsia="zh-CN"/>
        </w:rPr>
        <w:t>这对任何旨在降低材料不确定性的监测策略都是重要约束。</w:t>
      </w:r>
    </w:p>
    <w:p w:rsidR="00026D0F" w:rsidRDefault="00000000">
      <w:pPr>
        <w:pStyle w:val="21"/>
      </w:pPr>
      <w:r>
        <w:t xml:space="preserve">2.4 </w:t>
      </w:r>
      <w:r>
        <w:t>后验标定</w:t>
      </w:r>
      <w:r>
        <w:t xml:space="preserve"> / Posterior Calibration</w:t>
      </w:r>
    </w:p>
    <w:p w:rsidR="00026D0F" w:rsidRDefault="00000000">
      <w:r>
        <w:t xml:space="preserve">Bayesian calibration uses the same BNN to update the prior parameter distribution given noisy observations. The four calibrated parameters — </w:t>
      </w:r>
      <w:r>
        <w:rPr>
          <w:i/>
        </w:rPr>
        <w:t>E</w:t>
      </w:r>
      <w:r>
        <w:rPr>
          <w:vertAlign w:val="subscript"/>
        </w:rPr>
        <w:t>intercept</w:t>
      </w:r>
      <w:r>
        <w:t>, α</w:t>
      </w:r>
      <w:r>
        <w:rPr>
          <w:vertAlign w:val="subscript"/>
        </w:rPr>
        <w:t>base</w:t>
      </w:r>
      <w:r>
        <w:t>, α</w:t>
      </w:r>
      <w:r>
        <w:rPr>
          <w:vertAlign w:val="subscript"/>
        </w:rPr>
        <w:t>slope</w:t>
      </w:r>
      <w:r>
        <w:t xml:space="preserve"> and </w:t>
      </w:r>
      <w:r>
        <w:rPr>
          <w:i/>
        </w:rPr>
        <w:t>k</w:t>
      </w:r>
      <w:r>
        <w:rPr>
          <w:vertAlign w:val="subscript"/>
        </w:rPr>
        <w:t>ref</w:t>
      </w:r>
      <w:r>
        <w:t xml:space="preserve"> — are the four that the Sobol analysis identified as covering the dominant variance channels for stress and </w:t>
      </w:r>
      <w:r>
        <w:rPr>
          <w:i/>
        </w:rPr>
        <w:t>k</w:t>
      </w:r>
      <w:r>
        <w:rPr>
          <w:vertAlign w:val="subscript"/>
        </w:rPr>
        <w:t>eff</w:t>
      </w:r>
      <w:r>
        <w:t xml:space="preserve">. Metropolis-Hastings MCMC is run on 18 benchmark cases drawn from the test split (details in Section 4.6); acceptance rates range from </w:t>
      </w:r>
      <w:r>
        <w:rPr>
          <w:b/>
          <w:color w:val="CC0000"/>
        </w:rPr>
        <w:t>【</w:t>
      </w:r>
      <w:r>
        <w:rPr>
          <w:b/>
          <w:color w:val="CC0000"/>
        </w:rPr>
        <w:t>x</w:t>
      </w:r>
      <w:r>
        <w:rPr>
          <w:b/>
          <w:color w:val="CC0000"/>
        </w:rPr>
        <w:t>】</w:t>
      </w:r>
      <w:r>
        <w:t xml:space="preserve">, mean </w:t>
      </w:r>
      <w:r>
        <w:rPr>
          <w:b/>
          <w:color w:val="CC0000"/>
        </w:rPr>
        <w:t>【</w:t>
      </w:r>
      <w:r>
        <w:rPr>
          <w:b/>
          <w:color w:val="CC0000"/>
        </w:rPr>
        <w:t>x</w:t>
      </w:r>
      <w:r>
        <w:rPr>
          <w:b/>
          <w:color w:val="CC0000"/>
        </w:rPr>
        <w:t>】</w:t>
      </w:r>
      <w:r>
        <w:t xml:space="preserve"> (convergence diagnostics in Appendix E).</w:t>
      </w:r>
    </w:p>
    <w:p w:rsidR="00026D0F" w:rsidRDefault="00000000">
      <w:pPr>
        <w:rPr>
          <w:lang w:eastAsia="zh-CN"/>
        </w:rPr>
      </w:pPr>
      <w:r>
        <w:rPr>
          <w:lang w:eastAsia="zh-CN"/>
        </w:rPr>
        <w:t>贝叶斯标定使用同一</w:t>
      </w:r>
      <w:r>
        <w:rPr>
          <w:lang w:eastAsia="zh-CN"/>
        </w:rPr>
        <w:t xml:space="preserve"> BNN</w:t>
      </w:r>
      <w:r>
        <w:rPr>
          <w:lang w:eastAsia="zh-CN"/>
        </w:rPr>
        <w:t>，在含噪观测条件下更新先验参数分布。四个标定参数</w:t>
      </w:r>
      <w:r>
        <w:rPr>
          <w:lang w:eastAsia="zh-CN"/>
        </w:rPr>
        <w:t>——</w:t>
      </w:r>
      <w:r>
        <w:rPr>
          <w:i/>
          <w:lang w:eastAsia="zh-CN"/>
        </w:rPr>
        <w:t>E</w:t>
      </w:r>
      <w:r>
        <w:rPr>
          <w:vertAlign w:val="subscript"/>
          <w:lang w:eastAsia="zh-CN"/>
        </w:rPr>
        <w:t>intercept</w:t>
      </w:r>
      <w:r>
        <w:rPr>
          <w:lang w:eastAsia="zh-CN"/>
        </w:rPr>
        <w:t>、</w:t>
      </w:r>
      <w:r>
        <w:t>α</w:t>
      </w:r>
      <w:r>
        <w:rPr>
          <w:vertAlign w:val="subscript"/>
          <w:lang w:eastAsia="zh-CN"/>
        </w:rPr>
        <w:t>base</w:t>
      </w:r>
      <w:r>
        <w:rPr>
          <w:lang w:eastAsia="zh-CN"/>
        </w:rPr>
        <w:t>、</w:t>
      </w:r>
      <w:r>
        <w:t>α</w:t>
      </w:r>
      <w:r>
        <w:rPr>
          <w:vertAlign w:val="subscript"/>
          <w:lang w:eastAsia="zh-CN"/>
        </w:rPr>
        <w:t>slope</w:t>
      </w:r>
      <w:r>
        <w:rPr>
          <w:lang w:eastAsia="zh-CN"/>
        </w:rPr>
        <w:t xml:space="preserve"> </w:t>
      </w:r>
      <w:r>
        <w:rPr>
          <w:lang w:eastAsia="zh-CN"/>
        </w:rPr>
        <w:t>与</w:t>
      </w:r>
      <w:r>
        <w:rPr>
          <w:lang w:eastAsia="zh-CN"/>
        </w:rPr>
        <w:t xml:space="preserve"> </w:t>
      </w:r>
      <w:r>
        <w:rPr>
          <w:i/>
          <w:lang w:eastAsia="zh-CN"/>
        </w:rPr>
        <w:t>k</w:t>
      </w:r>
      <w:r>
        <w:rPr>
          <w:vertAlign w:val="subscript"/>
          <w:lang w:eastAsia="zh-CN"/>
        </w:rPr>
        <w:t>ref</w:t>
      </w:r>
      <w:r>
        <w:rPr>
          <w:lang w:eastAsia="zh-CN"/>
        </w:rPr>
        <w:t>——</w:t>
      </w:r>
      <w:r>
        <w:rPr>
          <w:lang w:eastAsia="zh-CN"/>
        </w:rPr>
        <w:t>正是</w:t>
      </w:r>
      <w:r>
        <w:rPr>
          <w:lang w:eastAsia="zh-CN"/>
        </w:rPr>
        <w:t xml:space="preserve"> Sobol </w:t>
      </w:r>
      <w:r>
        <w:rPr>
          <w:lang w:eastAsia="zh-CN"/>
        </w:rPr>
        <w:t>分析辨识的应力与</w:t>
      </w:r>
      <w:r>
        <w:rPr>
          <w:lang w:eastAsia="zh-CN"/>
        </w:rPr>
        <w:t xml:space="preserve"> </w:t>
      </w:r>
      <w:r>
        <w:rPr>
          <w:i/>
          <w:lang w:eastAsia="zh-CN"/>
        </w:rPr>
        <w:t>k</w:t>
      </w:r>
      <w:r>
        <w:rPr>
          <w:vertAlign w:val="subscript"/>
          <w:lang w:eastAsia="zh-CN"/>
        </w:rPr>
        <w:t>eff</w:t>
      </w:r>
      <w:r>
        <w:rPr>
          <w:lang w:eastAsia="zh-CN"/>
        </w:rPr>
        <w:t xml:space="preserve"> </w:t>
      </w:r>
      <w:r>
        <w:rPr>
          <w:lang w:eastAsia="zh-CN"/>
        </w:rPr>
        <w:t>方差主通道。</w:t>
      </w:r>
      <w:r>
        <w:rPr>
          <w:lang w:eastAsia="zh-CN"/>
        </w:rPr>
        <w:t xml:space="preserve">Metropolis-Hastings MCMC </w:t>
      </w:r>
      <w:r>
        <w:rPr>
          <w:lang w:eastAsia="zh-CN"/>
        </w:rPr>
        <w:t>在测试集中抽取的</w:t>
      </w:r>
      <w:r>
        <w:rPr>
          <w:lang w:eastAsia="zh-CN"/>
        </w:rPr>
        <w:t xml:space="preserve"> 18 </w:t>
      </w:r>
      <w:r>
        <w:rPr>
          <w:lang w:eastAsia="zh-CN"/>
        </w:rPr>
        <w:t>个基准案例上运行（细节见</w:t>
      </w:r>
      <w:r>
        <w:rPr>
          <w:lang w:eastAsia="zh-CN"/>
        </w:rPr>
        <w:t xml:space="preserve"> §4.6</w:t>
      </w:r>
      <w:r>
        <w:rPr>
          <w:lang w:eastAsia="zh-CN"/>
        </w:rPr>
        <w:t>）；接受率范围</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，均值</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（收敛诊断见附录</w:t>
      </w:r>
      <w:r>
        <w:rPr>
          <w:lang w:eastAsia="zh-CN"/>
        </w:rPr>
        <w:t xml:space="preserve"> E</w:t>
      </w:r>
      <w:r>
        <w:rPr>
          <w:lang w:eastAsia="zh-CN"/>
        </w:rPr>
        <w:t>）。</w:t>
      </w:r>
    </w:p>
    <w:p w:rsidR="00026D0F" w:rsidRDefault="00000000">
      <w:r>
        <w:t xml:space="preserve">Across the 18 cases, the posterior 90%-CI coverage is </w:t>
      </w:r>
      <w:r>
        <w:rPr>
          <w:b/>
          <w:color w:val="CC0000"/>
        </w:rPr>
        <w:t>【</w:t>
      </w:r>
      <w:r>
        <w:rPr>
          <w:b/>
          <w:color w:val="CC0000"/>
        </w:rPr>
        <w:t>x</w:t>
      </w:r>
      <w:r>
        <w:rPr>
          <w:b/>
          <w:color w:val="CC0000"/>
        </w:rPr>
        <w:t>】</w:t>
      </w:r>
      <w:r>
        <w:t xml:space="preserve"> — the observations successfully constrain the parameters that the Sobol analysis flagged as most influential. In higher-stress cases, the </w:t>
      </w:r>
      <w:r>
        <w:rPr>
          <w:i/>
        </w:rPr>
        <w:t>E</w:t>
      </w:r>
      <w:r>
        <w:rPr>
          <w:vertAlign w:val="subscript"/>
        </w:rPr>
        <w:t>intercept</w:t>
      </w:r>
      <w:r>
        <w:t xml:space="preserve"> marginal shifts toward larger values, consistent with its dominant role in the elastic-constitutive pathway. The joint posterior of </w:t>
      </w:r>
      <w:r>
        <w:rPr>
          <w:i/>
        </w:rPr>
        <w:t>E</w:t>
      </w:r>
      <w:r>
        <w:rPr>
          <w:vertAlign w:val="subscript"/>
        </w:rPr>
        <w:t>intercept</w:t>
      </w:r>
      <w:r>
        <w:t xml:space="preserve"> and α</w:t>
      </w:r>
      <w:r>
        <w:rPr>
          <w:vertAlign w:val="subscript"/>
        </w:rPr>
        <w:t>base</w:t>
      </w:r>
      <w:r>
        <w:t xml:space="preserve"> develops a compensation ridge: an increase in stiffness can be partially offset by a decrease in thermal expansion, leaving the stress product σ ∝ E · α · ΔT approximately invariant. This partial non-identifiability arises from the multiplicative structure and would not be visible in a single-output calibration — it is precisely the cross-coupling that the Sobol decomposition showed to be weak but non-zero.</w:t>
      </w:r>
    </w:p>
    <w:p w:rsidR="00026D0F" w:rsidRDefault="00000000">
      <w:pPr>
        <w:rPr>
          <w:lang w:eastAsia="zh-CN"/>
        </w:rPr>
      </w:pPr>
      <w:r>
        <w:rPr>
          <w:lang w:eastAsia="zh-CN"/>
        </w:rPr>
        <w:t xml:space="preserve">18 </w:t>
      </w:r>
      <w:r>
        <w:rPr>
          <w:lang w:eastAsia="zh-CN"/>
        </w:rPr>
        <w:t>个案例的后验</w:t>
      </w:r>
      <w:r>
        <w:rPr>
          <w:lang w:eastAsia="zh-CN"/>
        </w:rPr>
        <w:t xml:space="preserve"> 90%-CI </w:t>
      </w:r>
      <w:r>
        <w:rPr>
          <w:lang w:eastAsia="zh-CN"/>
        </w:rPr>
        <w:t>覆盖率为</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w:t>
      </w:r>
      <w:r>
        <w:rPr>
          <w:lang w:eastAsia="zh-CN"/>
        </w:rPr>
        <w:t>观测成功约束了</w:t>
      </w:r>
      <w:r>
        <w:rPr>
          <w:lang w:eastAsia="zh-CN"/>
        </w:rPr>
        <w:t xml:space="preserve"> Sobol </w:t>
      </w:r>
      <w:r>
        <w:rPr>
          <w:lang w:eastAsia="zh-CN"/>
        </w:rPr>
        <w:t>分析标出的最有影响力的参数。在高应力案例中，</w:t>
      </w:r>
      <w:r>
        <w:rPr>
          <w:i/>
          <w:lang w:eastAsia="zh-CN"/>
        </w:rPr>
        <w:t>E</w:t>
      </w:r>
      <w:r>
        <w:rPr>
          <w:vertAlign w:val="subscript"/>
          <w:lang w:eastAsia="zh-CN"/>
        </w:rPr>
        <w:t>intercept</w:t>
      </w:r>
      <w:r>
        <w:rPr>
          <w:lang w:eastAsia="zh-CN"/>
        </w:rPr>
        <w:t xml:space="preserve"> </w:t>
      </w:r>
      <w:r>
        <w:rPr>
          <w:lang w:eastAsia="zh-CN"/>
        </w:rPr>
        <w:t>的边际向更大值偏移，与其在弹性本构通道中的主导角色一致。</w:t>
      </w:r>
      <w:r>
        <w:rPr>
          <w:i/>
          <w:lang w:eastAsia="zh-CN"/>
        </w:rPr>
        <w:t>E</w:t>
      </w:r>
      <w:r>
        <w:rPr>
          <w:vertAlign w:val="subscript"/>
          <w:lang w:eastAsia="zh-CN"/>
        </w:rPr>
        <w:t>intercept</w:t>
      </w:r>
      <w:r>
        <w:rPr>
          <w:lang w:eastAsia="zh-CN"/>
        </w:rPr>
        <w:t xml:space="preserve"> </w:t>
      </w:r>
      <w:r>
        <w:rPr>
          <w:lang w:eastAsia="zh-CN"/>
        </w:rPr>
        <w:t>与</w:t>
      </w:r>
      <w:r>
        <w:rPr>
          <w:lang w:eastAsia="zh-CN"/>
        </w:rPr>
        <w:t xml:space="preserve"> </w:t>
      </w:r>
      <w:r>
        <w:t>α</w:t>
      </w:r>
      <w:r>
        <w:rPr>
          <w:vertAlign w:val="subscript"/>
          <w:lang w:eastAsia="zh-CN"/>
        </w:rPr>
        <w:t>base</w:t>
      </w:r>
      <w:r>
        <w:rPr>
          <w:lang w:eastAsia="zh-CN"/>
        </w:rPr>
        <w:t xml:space="preserve"> </w:t>
      </w:r>
      <w:r>
        <w:rPr>
          <w:lang w:eastAsia="zh-CN"/>
        </w:rPr>
        <w:t>的联合后验出现补偿脊：刚度增加可被热膨胀降低部分抵消，使</w:t>
      </w:r>
      <w:r>
        <w:rPr>
          <w:lang w:eastAsia="zh-CN"/>
        </w:rPr>
        <w:lastRenderedPageBreak/>
        <w:t>应力乘积</w:t>
      </w:r>
      <w:r>
        <w:rPr>
          <w:lang w:eastAsia="zh-CN"/>
        </w:rPr>
        <w:t xml:space="preserve"> </w:t>
      </w:r>
      <w:r>
        <w:t>σ</w:t>
      </w:r>
      <w:r>
        <w:rPr>
          <w:lang w:eastAsia="zh-CN"/>
        </w:rPr>
        <w:t xml:space="preserve"> ∝ E · </w:t>
      </w:r>
      <w:r>
        <w:t>α</w:t>
      </w:r>
      <w:r>
        <w:rPr>
          <w:lang w:eastAsia="zh-CN"/>
        </w:rPr>
        <w:t xml:space="preserve"> · </w:t>
      </w:r>
      <w:r>
        <w:t>Δ</w:t>
      </w:r>
      <w:r>
        <w:rPr>
          <w:lang w:eastAsia="zh-CN"/>
        </w:rPr>
        <w:t xml:space="preserve">T </w:t>
      </w:r>
      <w:r>
        <w:rPr>
          <w:lang w:eastAsia="zh-CN"/>
        </w:rPr>
        <w:t>近似不变。这种部分不可识别性源于乘积结构，在单输出标定中不可见</w:t>
      </w:r>
      <w:r>
        <w:rPr>
          <w:lang w:eastAsia="zh-CN"/>
        </w:rPr>
        <w:t>——</w:t>
      </w:r>
      <w:r>
        <w:rPr>
          <w:lang w:eastAsia="zh-CN"/>
        </w:rPr>
        <w:t>它恰好对应</w:t>
      </w:r>
      <w:r>
        <w:rPr>
          <w:lang w:eastAsia="zh-CN"/>
        </w:rPr>
        <w:t xml:space="preserve"> Sobol </w:t>
      </w:r>
      <w:r>
        <w:rPr>
          <w:lang w:eastAsia="zh-CN"/>
        </w:rPr>
        <w:t>分解所显示的弱但非零的交叉耦合。</w:t>
      </w:r>
    </w:p>
    <w:p w:rsidR="00026D0F" w:rsidRDefault="00000000">
      <w:r>
        <w:t xml:space="preserve">At the posterior-mean parameters of each case, the BNN-predicted stress tracks the true value with MAE = </w:t>
      </w:r>
      <w:r>
        <w:rPr>
          <w:b/>
          <w:color w:val="CC0000"/>
        </w:rPr>
        <w:t>【</w:t>
      </w:r>
      <w:r>
        <w:rPr>
          <w:b/>
          <w:color w:val="CC0000"/>
        </w:rPr>
        <w:t>x</w:t>
      </w:r>
      <w:r>
        <w:rPr>
          <w:b/>
          <w:color w:val="CC0000"/>
        </w:rPr>
        <w:t>】</w:t>
      </w:r>
      <w:r>
        <w:t xml:space="preserve"> MPa over a true-stress range of </w:t>
      </w:r>
      <w:r>
        <w:rPr>
          <w:b/>
          <w:color w:val="CC0000"/>
        </w:rPr>
        <w:t>【</w:t>
      </w:r>
      <w:r>
        <w:rPr>
          <w:b/>
          <w:color w:val="CC0000"/>
        </w:rPr>
        <w:t>x</w:t>
      </w:r>
      <w:r>
        <w:rPr>
          <w:b/>
          <w:color w:val="CC0000"/>
        </w:rPr>
        <w:t>】</w:t>
      </w:r>
      <w:r>
        <w:t xml:space="preserve"> MPa.</w:t>
      </w:r>
    </w:p>
    <w:p w:rsidR="00026D0F" w:rsidRDefault="00000000">
      <w:pPr>
        <w:rPr>
          <w:lang w:eastAsia="zh-CN"/>
        </w:rPr>
      </w:pPr>
      <w:r>
        <w:rPr>
          <w:lang w:eastAsia="zh-CN"/>
        </w:rPr>
        <w:t>在每个案例的后验均值参数处，</w:t>
      </w:r>
      <w:r>
        <w:rPr>
          <w:lang w:eastAsia="zh-CN"/>
        </w:rPr>
        <w:t xml:space="preserve">BNN </w:t>
      </w:r>
      <w:r>
        <w:rPr>
          <w:lang w:eastAsia="zh-CN"/>
        </w:rPr>
        <w:t>预测应力与真值吻合，</w:t>
      </w:r>
      <w:r>
        <w:rPr>
          <w:lang w:eastAsia="zh-CN"/>
        </w:rPr>
        <w:t xml:space="preserve">MAE = </w:t>
      </w:r>
      <w:r>
        <w:rPr>
          <w:b/>
          <w:color w:val="CC0000"/>
          <w:lang w:eastAsia="zh-CN"/>
        </w:rPr>
        <w:t>【</w:t>
      </w:r>
      <w:r>
        <w:rPr>
          <w:b/>
          <w:color w:val="CC0000"/>
          <w:lang w:eastAsia="zh-CN"/>
        </w:rPr>
        <w:t>x</w:t>
      </w:r>
      <w:r>
        <w:rPr>
          <w:b/>
          <w:color w:val="CC0000"/>
          <w:lang w:eastAsia="zh-CN"/>
        </w:rPr>
        <w:t>】</w:t>
      </w:r>
      <w:r>
        <w:rPr>
          <w:lang w:eastAsia="zh-CN"/>
        </w:rPr>
        <w:t xml:space="preserve"> MPa</w:t>
      </w:r>
      <w:r>
        <w:rPr>
          <w:lang w:eastAsia="zh-CN"/>
        </w:rPr>
        <w:t>，真实应力范围</w:t>
      </w:r>
      <w:r>
        <w:rPr>
          <w:lang w:eastAsia="zh-CN"/>
        </w:rPr>
        <w:t xml:space="preserve"> </w:t>
      </w:r>
      <w:r>
        <w:rPr>
          <w:b/>
          <w:color w:val="CC0000"/>
          <w:lang w:eastAsia="zh-CN"/>
        </w:rPr>
        <w:t>【</w:t>
      </w:r>
      <w:r>
        <w:rPr>
          <w:b/>
          <w:color w:val="CC0000"/>
          <w:lang w:eastAsia="zh-CN"/>
        </w:rPr>
        <w:t>x</w:t>
      </w:r>
      <w:r>
        <w:rPr>
          <w:b/>
          <w:color w:val="CC0000"/>
          <w:lang w:eastAsia="zh-CN"/>
        </w:rPr>
        <w:t>】</w:t>
      </w:r>
      <w:r>
        <w:rPr>
          <w:lang w:eastAsia="zh-CN"/>
        </w:rPr>
        <w:t xml:space="preserve"> MPa</w:t>
      </w:r>
      <w:r>
        <w:rPr>
          <w:lang w:eastAsia="zh-CN"/>
        </w:rPr>
        <w:t>。</w:t>
      </w:r>
    </w:p>
    <w:p w:rsidR="00026D0F" w:rsidRDefault="00000000">
      <w:pPr>
        <w:pStyle w:val="1"/>
      </w:pPr>
      <w:r>
        <w:t xml:space="preserve">3. </w:t>
      </w:r>
      <w:r>
        <w:t>讨论</w:t>
      </w:r>
      <w:r>
        <w:t xml:space="preserve"> / Discussion</w:t>
      </w:r>
    </w:p>
    <w:p w:rsidR="00026D0F" w:rsidRDefault="00000000">
      <w:pPr>
        <w:pStyle w:val="21"/>
      </w:pPr>
      <w:r>
        <w:t xml:space="preserve">3.1 </w:t>
      </w:r>
      <w:r>
        <w:t>耦合反馈与不确定性压缩</w:t>
      </w:r>
      <w:r>
        <w:t xml:space="preserve"> / Coupling Feedback and Uncertainty Compression</w:t>
      </w:r>
    </w:p>
    <w:p w:rsidR="00026D0F" w:rsidRDefault="00000000">
      <w:r>
        <w:t>The stress standard deviation drops from ≈ 49.2 MPa in the decoupled response to ≈ 35.5 MPa after coupling convergence, a ≈ 28% reduction. The mechanism is the negative neutronic–thermal feedback characteristic of compact monolithic-core systems: thermal expansion modifies the core geometry, which shifts the neutronic balance and partially offsets the direct stress increase. What the BNN-based forward propagation establishes is the net effect of this feedback on the output distribution. A decoupled analysis does not see the feedback loop and therefore overestimates the parameter-driven stress variability.</w:t>
      </w:r>
    </w:p>
    <w:p w:rsidR="00026D0F" w:rsidRDefault="00000000">
      <w:pPr>
        <w:rPr>
          <w:lang w:eastAsia="zh-CN"/>
        </w:rPr>
      </w:pPr>
      <w:r>
        <w:rPr>
          <w:lang w:eastAsia="zh-CN"/>
        </w:rPr>
        <w:t>应力标准差从解耦响应的</w:t>
      </w:r>
      <w:r>
        <w:rPr>
          <w:lang w:eastAsia="zh-CN"/>
        </w:rPr>
        <w:t xml:space="preserve"> ≈ 49.2 MPa </w:t>
      </w:r>
      <w:r>
        <w:rPr>
          <w:lang w:eastAsia="zh-CN"/>
        </w:rPr>
        <w:t>降至耦合收敛后的</w:t>
      </w:r>
      <w:r>
        <w:rPr>
          <w:lang w:eastAsia="zh-CN"/>
        </w:rPr>
        <w:t xml:space="preserve"> ≈ 35.5 MPa</w:t>
      </w:r>
      <w:r>
        <w:rPr>
          <w:lang w:eastAsia="zh-CN"/>
        </w:rPr>
        <w:t>，降幅约</w:t>
      </w:r>
      <w:r>
        <w:rPr>
          <w:lang w:eastAsia="zh-CN"/>
        </w:rPr>
        <w:t xml:space="preserve"> 28%</w:t>
      </w:r>
      <w:r>
        <w:rPr>
          <w:lang w:eastAsia="zh-CN"/>
        </w:rPr>
        <w:t>。机制为紧凑型基体堆芯典型的负向中子</w:t>
      </w:r>
      <w:r>
        <w:rPr>
          <w:lang w:eastAsia="zh-CN"/>
        </w:rPr>
        <w:t>–</w:t>
      </w:r>
      <w:r>
        <w:rPr>
          <w:lang w:eastAsia="zh-CN"/>
        </w:rPr>
        <w:t>热反馈：热膨胀改变堆芯几何，偏移中子平衡并部分抵消直接的应力增加。</w:t>
      </w:r>
      <w:r>
        <w:rPr>
          <w:lang w:eastAsia="zh-CN"/>
        </w:rPr>
        <w:t xml:space="preserve">BNN </w:t>
      </w:r>
      <w:r>
        <w:rPr>
          <w:lang w:eastAsia="zh-CN"/>
        </w:rPr>
        <w:t>前向传播所建立的是反馈对输出分布的净效应。解耦分析看不到该反馈回路，因此会高估参数驱动的应力变异。</w:t>
      </w:r>
    </w:p>
    <w:p w:rsidR="00026D0F" w:rsidRDefault="00000000">
      <w:r>
        <w:t>The overestimate is conservative for safety-margin evaluation and cannot produce an unsafe conclusion, but it inflates the apparent penalty of material-property uncertainty. In practice, this can translate into manufacturing tolerances stricter than the coupled response warrants.</w:t>
      </w:r>
    </w:p>
    <w:p w:rsidR="00026D0F" w:rsidRDefault="00000000">
      <w:pPr>
        <w:rPr>
          <w:lang w:eastAsia="zh-CN"/>
        </w:rPr>
      </w:pPr>
      <w:r>
        <w:rPr>
          <w:lang w:eastAsia="zh-CN"/>
        </w:rPr>
        <w:lastRenderedPageBreak/>
        <w:t>该高估对安全裕量评价是保守的，不会得出不安全结论，但会夸大材料不确定性所带来的表观惩罚。实际上，这可能转化为比耦合响应实际所需更严的制造公差。</w:t>
      </w:r>
    </w:p>
    <w:p w:rsidR="00026D0F" w:rsidRDefault="00000000">
      <w:pPr>
        <w:pStyle w:val="21"/>
      </w:pPr>
      <w:r>
        <w:t xml:space="preserve">3.2 BNN </w:t>
      </w:r>
      <w:r>
        <w:t>校准与模型选择</w:t>
      </w:r>
      <w:r>
        <w:t xml:space="preserve"> / BNN Calibration and Model Selection</w:t>
      </w:r>
    </w:p>
    <w:p w:rsidR="00026D0F" w:rsidRDefault="00000000">
      <w:r>
        <w:t>Compared with an ELBO-only BNN (Appendix B), adding physics-prior monotonicity constraints shrinks the 90% predictive interval without reducing coverage. The primary model (bnn-phy-mono) enforces monotonicity relations derived from the physics of the constitutive laws — for example, that stress increases with Young's modulus at fixed thermal strain. These constraints do not include inequality priors; the inequality variant (bnn-data-mono-ineq) is examined in the ablation study but is not the model used for the main-text results. The interval tightening at constant coverage indicates genuine sharpening rather than miscalibration, and the same posterior predictive distribution propagates consistently through forward UQ, Sobol attribution and MCMC calibration. A point-estimate surrogate would require separate uncertainty wrappers for each analysis with no guarantee of mutual consistency.</w:t>
      </w:r>
    </w:p>
    <w:p w:rsidR="00026D0F" w:rsidRDefault="00000000">
      <w:r>
        <w:rPr>
          <w:lang w:eastAsia="zh-CN"/>
        </w:rPr>
        <w:t>相比</w:t>
      </w:r>
      <w:r>
        <w:rPr>
          <w:lang w:eastAsia="zh-CN"/>
        </w:rPr>
        <w:t xml:space="preserve"> ELBO-only BNN</w:t>
      </w:r>
      <w:r>
        <w:rPr>
          <w:lang w:eastAsia="zh-CN"/>
        </w:rPr>
        <w:t>（附录</w:t>
      </w:r>
      <w:r>
        <w:rPr>
          <w:lang w:eastAsia="zh-CN"/>
        </w:rPr>
        <w:t xml:space="preserve"> B</w:t>
      </w:r>
      <w:r>
        <w:rPr>
          <w:lang w:eastAsia="zh-CN"/>
        </w:rPr>
        <w:t>），引入物理先验单调性约束后</w:t>
      </w:r>
      <w:r>
        <w:rPr>
          <w:lang w:eastAsia="zh-CN"/>
        </w:rPr>
        <w:t xml:space="preserve"> 90% </w:t>
      </w:r>
      <w:r>
        <w:rPr>
          <w:lang w:eastAsia="zh-CN"/>
        </w:rPr>
        <w:t>预测区间收窄而覆盖率不降。</w:t>
      </w:r>
      <w:r>
        <w:t>主模型（</w:t>
      </w:r>
      <w:r>
        <w:t>bnn-phy-mono</w:t>
      </w:r>
      <w:r>
        <w:t>）施加的单调性关系来自本构物理</w:t>
      </w:r>
      <w:r>
        <w:t>——</w:t>
      </w:r>
      <w:r>
        <w:t>例如，在热应变固定时应力随弹性模量单调递增。该约束不包含不等式先验；不等式变体（</w:t>
      </w:r>
      <w:r>
        <w:t>bnn-data-mono-ineq</w:t>
      </w:r>
      <w:r>
        <w:t>）在消融研究中考察，但并非正文结果所用模型。覆盖率恒定而区间收窄，表明是真正的锐化而非失校，且同一后验预测分布可在前向</w:t>
      </w:r>
      <w:r>
        <w:t xml:space="preserve"> UQ</w:t>
      </w:r>
      <w:r>
        <w:t>、</w:t>
      </w:r>
      <w:r>
        <w:t xml:space="preserve">Sobol </w:t>
      </w:r>
      <w:r>
        <w:t>归因与</w:t>
      </w:r>
      <w:r>
        <w:t xml:space="preserve"> MCMC </w:t>
      </w:r>
      <w:r>
        <w:t>标定之间一致传播。点估计代理则需为每类分析分别构建不确定性，且无法保证相互一致。</w:t>
      </w:r>
    </w:p>
    <w:p w:rsidR="00026D0F" w:rsidRDefault="00000000">
      <w:pPr>
        <w:pStyle w:val="21"/>
      </w:pPr>
      <w:r>
        <w:t xml:space="preserve">3.3 </w:t>
      </w:r>
      <w:r>
        <w:t>工程含义</w:t>
      </w:r>
      <w:r>
        <w:t xml:space="preserve"> / Engineering Implications</w:t>
      </w:r>
    </w:p>
    <w:p w:rsidR="00026D0F" w:rsidRDefault="00000000">
      <w:r>
        <w:t>The sensitivity and calibration results have three practical consequences for the engineering workflow around this class of reactor.</w:t>
      </w:r>
    </w:p>
    <w:p w:rsidR="00026D0F" w:rsidRDefault="00000000">
      <w:r>
        <w:t>敏感性与标定结果对此类反应堆的工程流程有三方面实际影响。</w:t>
      </w:r>
    </w:p>
    <w:p w:rsidR="00026D0F" w:rsidRDefault="00000000">
      <w:r>
        <w:t xml:space="preserve">Material-characterisation priority. In design stages where parameter knowledge comes from handbook values or manufacturer certificates, the Sobol ranking directly identifies where characterisation effort should concentrate. For stress-margin assessment, tightening the </w:t>
      </w:r>
      <w:r>
        <w:lastRenderedPageBreak/>
        <w:t xml:space="preserve">uncertainty on </w:t>
      </w:r>
      <w:r>
        <w:rPr>
          <w:i/>
        </w:rPr>
        <w:t>E</w:t>
      </w:r>
      <w:r>
        <w:rPr>
          <w:vertAlign w:val="subscript"/>
        </w:rPr>
        <w:t>intercept</w:t>
      </w:r>
      <w:r>
        <w:t xml:space="preserve"> — e.g. through coupon tensile tests at operating temperature — is the single highest-leverage action; for reactivity stability, dilatometry to refine α</w:t>
      </w:r>
      <w:r>
        <w:rPr>
          <w:vertAlign w:val="subscript"/>
        </w:rPr>
        <w:t>base</w:t>
      </w:r>
      <w:r>
        <w:t xml:space="preserve"> is the priority. Because these two measurements target different experimental setups, they can proceed in parallel without competing for the same facility.</w:t>
      </w:r>
    </w:p>
    <w:p w:rsidR="00026D0F" w:rsidRDefault="00000000">
      <w:r>
        <w:t>材料表征优先级。在参数知识来源于手册值或制造商证书的设计阶段，</w:t>
      </w:r>
      <w:r>
        <w:t xml:space="preserve">Sobol </w:t>
      </w:r>
      <w:r>
        <w:t>排序直接指出表征应集中在何处。对应力裕量评估，收窄</w:t>
      </w:r>
      <w:r>
        <w:t xml:space="preserve"> </w:t>
      </w:r>
      <w:r>
        <w:rPr>
          <w:i/>
        </w:rPr>
        <w:t>E</w:t>
      </w:r>
      <w:r>
        <w:rPr>
          <w:vertAlign w:val="subscript"/>
        </w:rPr>
        <w:t>intercept</w:t>
      </w:r>
      <w:r>
        <w:t xml:space="preserve"> </w:t>
      </w:r>
      <w:r>
        <w:t>不确定性（例如通过运行温度下的试棒拉伸试验）是杠杆最高的单一行动；对反应性稳定性，通过膨胀仪测量精化</w:t>
      </w:r>
      <w:r>
        <w:t xml:space="preserve"> α</w:t>
      </w:r>
      <w:r>
        <w:rPr>
          <w:vertAlign w:val="subscript"/>
        </w:rPr>
        <w:t>base</w:t>
      </w:r>
      <w:r>
        <w:t xml:space="preserve"> </w:t>
      </w:r>
      <w:r>
        <w:t>是优先项。两项测量对应不同实验装置，可并行推进而无需争夺同一设施。</w:t>
      </w:r>
    </w:p>
    <w:p w:rsidR="00026D0F" w:rsidRDefault="00000000">
      <w:r>
        <w:t>Iterative updating. When measured or monitored data become available — whether from prototype testing, post-irradiation examination or in-service monitoring — the posterior calibration folds that information into the same surrogate without retraining. The updated parameter distribution propagates immediately to all 15 outputs, producing progressively tighter safety-margin estimates as characterisation accumulates. If a posterior update reveals that a safety margin is tighter than initially expected, the Sobol ranking identifies which parameter to prioritise in the next round of characterisation.</w:t>
      </w:r>
    </w:p>
    <w:p w:rsidR="00026D0F" w:rsidRDefault="00000000">
      <w:r>
        <w:t>迭代更新。当实测或监测数据可用时</w:t>
      </w:r>
      <w:r>
        <w:t>——</w:t>
      </w:r>
      <w:r>
        <w:t>无论来自原型试验、辐照后检验还是在役监测</w:t>
      </w:r>
      <w:r>
        <w:t>——</w:t>
      </w:r>
      <w:r>
        <w:t>后验标定将该信息反馈到同一代理中而无需重训。更新后的参数分布立即传播到全部</w:t>
      </w:r>
      <w:r>
        <w:t xml:space="preserve"> 15 </w:t>
      </w:r>
      <w:r>
        <w:t>个输出，随着表征积累逐步收紧安全裕量估计。若后验更新显示某项安全裕量比预期更紧，</w:t>
      </w:r>
      <w:r>
        <w:t xml:space="preserve">Sobol </w:t>
      </w:r>
      <w:r>
        <w:t>排序即可指出下一轮表征应优先精化的参数。</w:t>
      </w:r>
    </w:p>
    <w:p w:rsidR="00026D0F" w:rsidRDefault="00000000">
      <w:r>
        <w:t xml:space="preserve">Multi-output experimental design. The near-zero parameter overlap between the stress and </w:t>
      </w:r>
      <w:r>
        <w:rPr>
          <w:i/>
        </w:rPr>
        <w:t>k</w:t>
      </w:r>
      <w:r>
        <w:rPr>
          <w:vertAlign w:val="subscript"/>
        </w:rPr>
        <w:t>eff</w:t>
      </w:r>
      <w:r>
        <w:t xml:space="preserve"> pathways means that a monitoring strategy based on a single composite metric (e.g. a weighted safety index) would lose information. Stress observations constrain elastic properties; </w:t>
      </w:r>
      <w:r>
        <w:rPr>
          <w:i/>
        </w:rPr>
        <w:t>k</w:t>
      </w:r>
      <w:r>
        <w:rPr>
          <w:vertAlign w:val="subscript"/>
        </w:rPr>
        <w:t>eff</w:t>
      </w:r>
      <w:r>
        <w:t xml:space="preserve"> observations constrain thermal-expansion properties. A calibration protocol that combines both provides stronger parameter identification than either alone, and the Sobol decomposition quantifies how much each observation type contributes.</w:t>
      </w:r>
    </w:p>
    <w:p w:rsidR="00026D0F" w:rsidRDefault="00000000">
      <w:r>
        <w:t>多输出实验设计。应力与</w:t>
      </w:r>
      <w:r>
        <w:t xml:space="preserve"> </w:t>
      </w:r>
      <w:r>
        <w:rPr>
          <w:i/>
        </w:rPr>
        <w:t>k</w:t>
      </w:r>
      <w:r>
        <w:rPr>
          <w:vertAlign w:val="subscript"/>
        </w:rPr>
        <w:t>eff</w:t>
      </w:r>
      <w:r>
        <w:t xml:space="preserve"> </w:t>
      </w:r>
      <w:r>
        <w:t>通道之间主控参数几乎不重叠，这意味着基于单一综合指标（如加权安全指数）的监测策略会丢失信息。应力观测约束弹性性质，</w:t>
      </w:r>
      <w:r>
        <w:rPr>
          <w:i/>
        </w:rPr>
        <w:t>k</w:t>
      </w:r>
      <w:r>
        <w:rPr>
          <w:vertAlign w:val="subscript"/>
        </w:rPr>
        <w:t>eff</w:t>
      </w:r>
      <w:r>
        <w:t xml:space="preserve"> </w:t>
      </w:r>
      <w:r>
        <w:t>观测约束热膨</w:t>
      </w:r>
      <w:r>
        <w:lastRenderedPageBreak/>
        <w:t>胀性质。联合两者的标定协议所提供的参数识别能力强于单一观测，而</w:t>
      </w:r>
      <w:r>
        <w:t xml:space="preserve"> Sobol </w:t>
      </w:r>
      <w:r>
        <w:t>分解可量化每类观测的贡献。</w:t>
      </w:r>
    </w:p>
    <w:p w:rsidR="00026D0F" w:rsidRDefault="00000000">
      <w:r>
        <w:t>These are model-driven indications, not design directives; they do not substitute for verification on the high-fidelity solver.</w:t>
      </w:r>
    </w:p>
    <w:p w:rsidR="00026D0F" w:rsidRDefault="00000000">
      <w:r>
        <w:t>上述为模型驱动的指引而非设计指令，不替代高保真求解器上的核验。</w:t>
      </w:r>
    </w:p>
    <w:p w:rsidR="00026D0F" w:rsidRDefault="00000000">
      <w:pPr>
        <w:pStyle w:val="21"/>
      </w:pPr>
      <w:r>
        <w:t xml:space="preserve">3.4 </w:t>
      </w:r>
      <w:r>
        <w:t>计算效率</w:t>
      </w:r>
      <w:r>
        <w:t xml:space="preserve"> / Computational Efficiency</w:t>
      </w:r>
    </w:p>
    <w:p w:rsidR="00026D0F" w:rsidRDefault="00000000">
      <w:r>
        <w:t>The BNN produces one posterior-predictive draw, averaged over 50 Monte Carlo weight samples, in 1.29×10⁻² s on GPU. Batched inference at batch size 1024 reaches a per-sample cost of 1.34×10⁻⁵ s, equivalent to a throughput of ≈ 7.5×10⁴ samples/s. The coupled HF solver requires 2266 s, or about 38 min, per case. This figure is the mean of three independent runs with standard deviation 1.34 s, measured on an AMD EPYC 9654 96-core node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sidR="00026D0F" w:rsidRDefault="00000000">
      <w:r>
        <w:t xml:space="preserve">BNN </w:t>
      </w:r>
      <w:r>
        <w:t>代理每完成一次后验预测抽样（对</w:t>
      </w:r>
      <w:r>
        <w:t xml:space="preserve"> 50 </w:t>
      </w:r>
      <w:r>
        <w:t>个</w:t>
      </w:r>
      <w:r>
        <w:t xml:space="preserve"> MC </w:t>
      </w:r>
      <w:r>
        <w:t>权重样本求均值）</w:t>
      </w:r>
      <w:r>
        <w:t xml:space="preserve">GPU </w:t>
      </w:r>
      <w:r>
        <w:t>时间为</w:t>
      </w:r>
      <w:r>
        <w:t xml:space="preserve"> 1.29×10⁻² s</w:t>
      </w:r>
      <w:r>
        <w:t>。批大小</w:t>
      </w:r>
      <w:r>
        <w:t xml:space="preserve"> 1024 </w:t>
      </w:r>
      <w:r>
        <w:t>时单样本推断时间为</w:t>
      </w:r>
      <w:r>
        <w:t xml:space="preserve"> 1.34×10⁻⁵ s</w:t>
      </w:r>
      <w:r>
        <w:t>，吞吐量约</w:t>
      </w:r>
      <w:r>
        <w:t xml:space="preserve"> 7.5×10⁴ </w:t>
      </w:r>
      <w:r>
        <w:t>样本</w:t>
      </w:r>
      <w:r>
        <w:t>/s</w:t>
      </w:r>
      <w:r>
        <w:t>。耦合高保真求解器单案例耗时</w:t>
      </w:r>
      <w:r>
        <w:t xml:space="preserve"> 2266 s</w:t>
      </w:r>
      <w:r>
        <w:t>，约</w:t>
      </w:r>
      <w:r>
        <w:t xml:space="preserve"> 38 </w:t>
      </w:r>
      <w:r>
        <w:t>分钟。该数字为</w:t>
      </w:r>
      <w:r>
        <w:t xml:space="preserve"> 3 </w:t>
      </w:r>
      <w:r>
        <w:t>次独立运行的均值，标准差</w:t>
      </w:r>
      <w:r>
        <w:t xml:space="preserve"> 1.34 s</w:t>
      </w:r>
      <w:r>
        <w:t>；测试硬件为</w:t>
      </w:r>
      <w:r>
        <w:t xml:space="preserve"> AMD EPYC 9654 96 </w:t>
      </w:r>
      <w:r>
        <w:t>核节点，</w:t>
      </w:r>
      <w:r>
        <w:t>566 GB RAM</w:t>
      </w:r>
      <w:r>
        <w:t>，</w:t>
      </w:r>
      <w:r>
        <w:t>2× RTX 5090</w:t>
      </w:r>
      <w:r>
        <w:t>。由此得到的加速比为：单次后验预测抽样相对</w:t>
      </w:r>
      <w:r>
        <w:t xml:space="preserve"> HF </w:t>
      </w:r>
      <w:r>
        <w:t>约</w:t>
      </w:r>
      <w:r>
        <w:t xml:space="preserve"> 1.76×10⁵</w:t>
      </w:r>
      <w:r>
        <w:t>，批处理单样本推断相对</w:t>
      </w:r>
      <w:r>
        <w:t xml:space="preserve"> HF </w:t>
      </w:r>
      <w:r>
        <w:t>约</w:t>
      </w:r>
      <w:r>
        <w:t xml:space="preserve"> 1.69×10⁸</w:t>
      </w:r>
      <w:r>
        <w:t>。</w:t>
      </w:r>
      <w:r>
        <w:t xml:space="preserve"> 20,000 </w:t>
      </w:r>
      <w:r>
        <w:t>样本前向</w:t>
      </w:r>
      <w:r>
        <w:t xml:space="preserve"> UQ </w:t>
      </w:r>
      <w:r>
        <w:t>推断（不含</w:t>
      </w:r>
      <w:r>
        <w:t xml:space="preserve"> I/O</w:t>
      </w:r>
      <w:r>
        <w:t>）约需</w:t>
      </w:r>
      <w:r>
        <w:t xml:space="preserve"> 0.3 s GPU </w:t>
      </w:r>
      <w:r>
        <w:t>时间，对应顺序</w:t>
      </w:r>
      <w:r>
        <w:t xml:space="preserve"> HF </w:t>
      </w:r>
      <w:r>
        <w:t>成本约</w:t>
      </w:r>
      <w:r>
        <w:t xml:space="preserve"> 4.5×10⁷ s</w:t>
      </w:r>
      <w:r>
        <w:t>。该推断代价构成完整概率工作流的基础。</w:t>
      </w:r>
    </w:p>
    <w:p w:rsidR="00026D0F" w:rsidRDefault="00000000">
      <w: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sidR="00026D0F" w:rsidRDefault="00000000">
      <w:r>
        <w:lastRenderedPageBreak/>
        <w:t>该加速使完整概率工作流</w:t>
      </w:r>
      <w:r>
        <w:t xml:space="preserve">——20,000 </w:t>
      </w:r>
      <w:r>
        <w:t>样本蒙特卡洛传播、</w:t>
      </w:r>
      <w:r>
        <w:t xml:space="preserve">50 </w:t>
      </w:r>
      <w:r>
        <w:t>次重复</w:t>
      </w:r>
      <w:r>
        <w:t xml:space="preserve"> Sobol </w:t>
      </w:r>
      <w:r>
        <w:t>分析与</w:t>
      </w:r>
      <w:r>
        <w:t xml:space="preserve"> 18 </w:t>
      </w:r>
      <w:r>
        <w:t>例</w:t>
      </w:r>
      <w:r>
        <w:t xml:space="preserve"> MCMC </w:t>
      </w:r>
      <w:r>
        <w:t>标定</w:t>
      </w:r>
      <w:r>
        <w:t>——</w:t>
      </w:r>
      <w:r>
        <w:t>可在数分钟内完成，使具有显著材料不确定性的</w:t>
      </w:r>
      <w:r>
        <w:t xml:space="preserve"> HPR </w:t>
      </w:r>
      <w:r>
        <w:t>系统的迭代耦合模型探索在计算上可行。</w:t>
      </w:r>
    </w:p>
    <w:p w:rsidR="00026D0F" w:rsidRDefault="00000000">
      <w:pPr>
        <w:pStyle w:val="21"/>
      </w:pPr>
      <w:r>
        <w:t xml:space="preserve">3.5 </w:t>
      </w:r>
      <w:r>
        <w:t>局限性</w:t>
      </w:r>
      <w:r>
        <w:t xml:space="preserve"> / Limitations</w:t>
      </w:r>
    </w:p>
    <w:p w:rsidR="00026D0F" w:rsidRDefault="00000000">
      <w:r>
        <w:t>The surrogate is trained on data from a single HPR design point. All quantitative results describe this specific configuration only; a different geometry, fuel enrichment or operating envelope would require regenerating the training set and retraining the BNN. The methodology itself is not design-specific: the same workflow of coupled-data generation, BNN training and three-stage probabilistic analysis is directly applicable to other reactor types and other coupled multi-physics systems.</w:t>
      </w:r>
    </w:p>
    <w:p w:rsidR="00026D0F" w:rsidRDefault="00000000">
      <w:r>
        <w:t>代理仅在单一</w:t>
      </w:r>
      <w:r>
        <w:t xml:space="preserve"> HPR </w:t>
      </w:r>
      <w:r>
        <w:t>设计点的数据上训练，所有定量结果仅描述该构型。不同几何、燃料富集度或运行工况需要重新生成训练集并重训</w:t>
      </w:r>
      <w:r>
        <w:t xml:space="preserve"> BNN</w:t>
      </w:r>
      <w:r>
        <w:t>。但方法本身不依赖于特定设计：耦合数据生成、</w:t>
      </w:r>
      <w:r>
        <w:t xml:space="preserve">BNN </w:t>
      </w:r>
      <w:r>
        <w:t>训练与三阶段概率分析的同一工作流可直接应用于其他堆型和其他耦合多物理系统。</w:t>
      </w:r>
    </w:p>
    <w:p w:rsidR="00026D0F" w:rsidRDefault="00000000">
      <w:r>
        <w:t>The MCMC calibration fixes four parameters (</w:t>
      </w:r>
      <w:r>
        <w:rPr>
          <w:i/>
        </w:rPr>
        <w:t>E</w:t>
      </w:r>
      <w:r>
        <w:rPr>
          <w:vertAlign w:val="subscript"/>
        </w:rPr>
        <w:t>slope</w:t>
      </w:r>
      <w:r>
        <w:t xml:space="preserve">, </w:t>
      </w:r>
      <w:r>
        <w:rPr>
          <w:i/>
        </w:rPr>
        <w:t>T</w:t>
      </w:r>
      <w:r>
        <w:rPr>
          <w:vertAlign w:val="subscript"/>
        </w:rPr>
        <w:t>ref</w:t>
      </w:r>
      <w:r>
        <w:t xml:space="preserve">, </w:t>
      </w:r>
      <w:r>
        <w:rPr>
          <w:i/>
        </w:rPr>
        <w:t>k</w:t>
      </w:r>
      <w:r>
        <w:rPr>
          <w:vertAlign w:val="subscript"/>
        </w:rPr>
        <w:t>slope</w:t>
      </w:r>
      <w:r>
        <w:t>, ν) at their true values and calibrates the remaining four. Extending to a full eight-parameter calibration would require additional independent observations to constrain the expanded parameter space. The reported posterior contraction is therefore conditional on this four-parameter scope and should not be directly extrapolated to the unconstrained eight-dimensional case.</w:t>
      </w:r>
    </w:p>
    <w:p w:rsidR="00026D0F" w:rsidRDefault="00000000">
      <w:r>
        <w:t xml:space="preserve">MCMC </w:t>
      </w:r>
      <w:r>
        <w:t>标定将四个参数（</w:t>
      </w:r>
      <w:r>
        <w:rPr>
          <w:i/>
        </w:rPr>
        <w:t>E</w:t>
      </w:r>
      <w:r>
        <w:rPr>
          <w:vertAlign w:val="subscript"/>
        </w:rPr>
        <w:t>slope</w:t>
      </w:r>
      <w:r>
        <w:t>、</w:t>
      </w:r>
      <w:r>
        <w:rPr>
          <w:i/>
        </w:rPr>
        <w:t>T</w:t>
      </w:r>
      <w:r>
        <w:rPr>
          <w:vertAlign w:val="subscript"/>
        </w:rPr>
        <w:t>ref</w:t>
      </w:r>
      <w:r>
        <w:t>、</w:t>
      </w:r>
      <w:r>
        <w:rPr>
          <w:i/>
        </w:rPr>
        <w:t>k</w:t>
      </w:r>
      <w:r>
        <w:rPr>
          <w:vertAlign w:val="subscript"/>
        </w:rPr>
        <w:t>slope</w:t>
      </w:r>
      <w:r>
        <w:t>、</w:t>
      </w:r>
      <w:r>
        <w:t>ν</w:t>
      </w:r>
      <w:r>
        <w:t>）固定在真实值上，对其余四个参数进行标定。扩展到完整八参数标定需要额外的独立观测来约束扩展的参数空间。所报告的后验收缩量以四参数标定为前提，不应直接外推到无约束的八维情形。</w:t>
      </w:r>
    </w:p>
    <w:p w:rsidR="00026D0F" w:rsidRDefault="00000000">
      <w:r>
        <w:t xml:space="preserve">The </w:t>
      </w:r>
      <w:r>
        <w:rPr>
          <w:i/>
        </w:rPr>
        <w:t>k</w:t>
      </w:r>
      <w:r>
        <w:rPr>
          <w:vertAlign w:val="subscript"/>
        </w:rPr>
        <w:t>eff</w:t>
      </w:r>
      <w:r>
        <w:t xml:space="preserve"> surrogate degrades on out-of-distribution (OOD) feature-tail subsets: on the α</w:t>
      </w:r>
      <w:r>
        <w:rPr>
          <w:vertAlign w:val="subscript"/>
        </w:rPr>
        <w:t>base</w:t>
      </w:r>
      <w:r>
        <w:t xml:space="preserve"> tail, </w:t>
      </w:r>
      <w:r>
        <w:rPr>
          <w:i/>
        </w:rPr>
        <w:t>k</w:t>
      </w:r>
      <w:r>
        <w:rPr>
          <w:vertAlign w:val="subscript"/>
        </w:rPr>
        <w:t>eff</w:t>
      </w:r>
      <w:r>
        <w:t xml:space="preserve"> </w:t>
      </w:r>
      <w:r>
        <w:rPr>
          <w:i/>
        </w:rPr>
        <w:t>R</w:t>
      </w:r>
      <w:r>
        <w:rPr>
          <w:vertAlign w:val="subscript"/>
        </w:rPr>
        <w:t>²</w:t>
      </w:r>
      <w:r>
        <w:t xml:space="preserve"> drops to ≈ 0.29 versus 0.825 in-distribution, while stress retains </w:t>
      </w:r>
      <w:r>
        <w:rPr>
          <w:i/>
        </w:rPr>
        <w:t>R</w:t>
      </w:r>
      <w:r>
        <w:rPr>
          <w:vertAlign w:val="subscript"/>
        </w:rPr>
        <w:t>²</w:t>
      </w:r>
      <w:r>
        <w:t xml:space="preserve"> ≥ 0.75 across all tested tails. The Sobol and posterior conclusions for </w:t>
      </w:r>
      <w:r>
        <w:rPr>
          <w:i/>
        </w:rPr>
        <w:t>k</w:t>
      </w:r>
      <w:r>
        <w:rPr>
          <w:vertAlign w:val="subscript"/>
        </w:rPr>
        <w:t>eff</w:t>
      </w:r>
      <w:r>
        <w:t xml:space="preserve"> therefore hold only within the training range of the dominant reactivity parameter (Appendix A).</w:t>
      </w:r>
    </w:p>
    <w:p w:rsidR="00026D0F" w:rsidRDefault="00000000">
      <w:r>
        <w:rPr>
          <w:i/>
        </w:rPr>
        <w:lastRenderedPageBreak/>
        <w:t>k</w:t>
      </w:r>
      <w:r>
        <w:rPr>
          <w:vertAlign w:val="subscript"/>
        </w:rPr>
        <w:t>eff</w:t>
      </w:r>
      <w:r>
        <w:t xml:space="preserve"> </w:t>
      </w:r>
      <w:r>
        <w:t>代理在分布外（</w:t>
      </w:r>
      <w:r>
        <w:t>OOD</w:t>
      </w:r>
      <w:r>
        <w:t>）特征尾部子集上退化：</w:t>
      </w:r>
      <w:r>
        <w:t>α</w:t>
      </w:r>
      <w:r>
        <w:rPr>
          <w:vertAlign w:val="subscript"/>
        </w:rPr>
        <w:t>base</w:t>
      </w:r>
      <w:r>
        <w:t xml:space="preserve"> </w:t>
      </w:r>
      <w:r>
        <w:t>尾部</w:t>
      </w:r>
      <w:r>
        <w:t xml:space="preserve"> </w:t>
      </w:r>
      <w:r>
        <w:rPr>
          <w:i/>
        </w:rPr>
        <w:t>k</w:t>
      </w:r>
      <w:r>
        <w:rPr>
          <w:vertAlign w:val="subscript"/>
        </w:rPr>
        <w:t>eff</w:t>
      </w:r>
      <w:r>
        <w:t xml:space="preserve"> </w:t>
      </w:r>
      <w:r>
        <w:rPr>
          <w:i/>
        </w:rPr>
        <w:t>R</w:t>
      </w:r>
      <w:r>
        <w:rPr>
          <w:vertAlign w:val="subscript"/>
        </w:rPr>
        <w:t>²</w:t>
      </w:r>
      <w:r>
        <w:t xml:space="preserve"> </w:t>
      </w:r>
      <w:r>
        <w:t>降至约</w:t>
      </w:r>
      <w:r>
        <w:t xml:space="preserve"> 0.29</w:t>
      </w:r>
      <w:r>
        <w:t>，分布内为</w:t>
      </w:r>
      <w:r>
        <w:t xml:space="preserve"> 0.825</w:t>
      </w:r>
      <w:r>
        <w:t>；应力在所有尾部子集上均保持</w:t>
      </w:r>
      <w:r>
        <w:t xml:space="preserve"> </w:t>
      </w:r>
      <w:r>
        <w:rPr>
          <w:i/>
        </w:rPr>
        <w:t>R</w:t>
      </w:r>
      <w:r>
        <w:rPr>
          <w:vertAlign w:val="subscript"/>
        </w:rPr>
        <w:t>²</w:t>
      </w:r>
      <w:r>
        <w:t xml:space="preserve"> ≥ 0.75</w:t>
      </w:r>
      <w:r>
        <w:t>。因此</w:t>
      </w:r>
      <w:r>
        <w:t xml:space="preserve"> </w:t>
      </w:r>
      <w:r>
        <w:rPr>
          <w:i/>
        </w:rPr>
        <w:t>k</w:t>
      </w:r>
      <w:r>
        <w:rPr>
          <w:vertAlign w:val="subscript"/>
        </w:rPr>
        <w:t>eff</w:t>
      </w:r>
      <w:r>
        <w:t xml:space="preserve"> </w:t>
      </w:r>
      <w:r>
        <w:t>的</w:t>
      </w:r>
      <w:r>
        <w:t xml:space="preserve"> Sobol </w:t>
      </w:r>
      <w:r>
        <w:t>与后验结论仅在主控反应性参数的训练范围内成立（附录</w:t>
      </w:r>
      <w:r>
        <w:t xml:space="preserve"> A</w:t>
      </w:r>
      <w:r>
        <w:t>）。</w:t>
      </w:r>
    </w:p>
    <w:p w:rsidR="00026D0F" w:rsidRDefault="00000000">
      <w:r>
        <w:t>All posterior summaries in Section 2.4 are computed on the surrogate side. An independent high-fidelity re-evaluation at the posterior-mean parameter vectors is documented separately as a supplementary consistency check. The present study uses synthetic observations constructed from the high-fidelity solver because no real operational data are available for this design. If experimental or monitoring data become available in the future, the same posterior calibration workflow can ingest real observations directly.</w:t>
      </w:r>
    </w:p>
    <w:p w:rsidR="00026D0F" w:rsidRDefault="00000000">
      <w:r>
        <w:t xml:space="preserve">§2.4 </w:t>
      </w:r>
      <w:r>
        <w:t>的所有后验汇总量均在代理侧计算。在后验均值参数处对耦合求解器的独立高保真重评估作为补充一致性核验另行记录。本研究使用由高保真求解器构造的合成观测，因为该设计尚无真实运行数据。若未来获取实验或监测数据，同一后验标定工作流可直接接入真实观测。</w:t>
      </w:r>
    </w:p>
    <w:p w:rsidR="00026D0F" w:rsidRDefault="00000000">
      <w:pPr>
        <w:pStyle w:val="1"/>
      </w:pPr>
      <w:r>
        <w:t xml:space="preserve">4. </w:t>
      </w:r>
      <w:r>
        <w:t>方法</w:t>
      </w:r>
      <w:r>
        <w:t xml:space="preserve"> / Methods</w:t>
      </w:r>
    </w:p>
    <w:p w:rsidR="00026D0F" w:rsidRDefault="00000000">
      <w:pPr>
        <w:pStyle w:val="21"/>
      </w:pPr>
      <w:r>
        <w:t xml:space="preserve">4.1 </w:t>
      </w:r>
      <w:r>
        <w:t>材料不确定性模型</w:t>
      </w:r>
      <w:r>
        <w:t xml:space="preserve"> / Material Uncertainty Model</w:t>
      </w:r>
    </w:p>
    <w:p w:rsidR="00026D0F" w:rsidRDefault="00000000">
      <w:r>
        <w:t xml:space="preserve">The coupled HPR simulation involves eight material properties of the SS316 monolith, the structural component that simultaneously bears thermal stress and transmits heat between fuel and heat pipes. All eight enter the calculation through the constitutive models for elasticity, thermal expansion and thermal conductivity of this single material. Fuel thermal conductivity, heat-pipe working-fluid properties and other non-monolith parameters are held at their nominal values in the present study because they do not participate in the stress constitutive law and their influence on </w:t>
      </w:r>
      <w:r>
        <w:rPr>
          <w:i/>
        </w:rPr>
        <w:t>k</w:t>
      </w:r>
      <w:r>
        <w:rPr>
          <w:vertAlign w:val="subscript"/>
        </w:rPr>
        <w:t>eff</w:t>
      </w:r>
      <w:r>
        <w:t xml:space="preserve"> is mediated primarily through the monolith temperature field, which the eight selected parameters already control. The eight parameters are grouped by physical function into three categories.</w:t>
      </w:r>
    </w:p>
    <w:p w:rsidR="00026D0F" w:rsidRDefault="00000000">
      <w:r>
        <w:t xml:space="preserve">HPR </w:t>
      </w:r>
      <w:r>
        <w:t>耦合仿真涉及</w:t>
      </w:r>
      <w:r>
        <w:t xml:space="preserve"> SS316 </w:t>
      </w:r>
      <w:r>
        <w:t>基体的八个材料性质。基体是同时承受热应力并在燃料与热管之间传导热量的结构构件。全部八个参数通过同一材料的弹性、热膨胀与热传导本构模型</w:t>
      </w:r>
      <w:r>
        <w:lastRenderedPageBreak/>
        <w:t>进入计算。燃料热导率、热管工质性质等非基体参数在本研究中固定在标称值，因为它们不参与应力本构关系，且对</w:t>
      </w:r>
      <w:r>
        <w:t xml:space="preserve"> </w:t>
      </w:r>
      <w:r>
        <w:rPr>
          <w:i/>
        </w:rPr>
        <w:t>k</w:t>
      </w:r>
      <w:r>
        <w:rPr>
          <w:vertAlign w:val="subscript"/>
        </w:rPr>
        <w:t>eff</w:t>
      </w:r>
      <w:r>
        <w:t xml:space="preserve"> </w:t>
      </w:r>
      <w:r>
        <w:t>的影响主要经由基体温度场传递，而基体温度场已被上述八个参数所控制。八个参数按物理功能分为三组。</w:t>
      </w:r>
    </w:p>
    <w:p w:rsidR="00026D0F" w:rsidRDefault="00000000">
      <w:r>
        <w:t xml:space="preserve">Structural mechanics parameters. The temperature-dependent Young's modulus of the SS316 monolith is modelled as a linear function of temperature, E(T) = </w:t>
      </w:r>
      <w:r>
        <w:rPr>
          <w:i/>
        </w:rPr>
        <w:t>E</w:t>
      </w:r>
      <w:r>
        <w:rPr>
          <w:vertAlign w:val="subscript"/>
        </w:rPr>
        <w:t>slope</w:t>
      </w:r>
      <w:r>
        <w:t xml:space="preserve"> · T + </w:t>
      </w:r>
      <w:r>
        <w:rPr>
          <w:i/>
        </w:rPr>
        <w:t>E</w:t>
      </w:r>
      <w:r>
        <w:rPr>
          <w:vertAlign w:val="subscript"/>
        </w:rPr>
        <w:t>intercept</w:t>
      </w:r>
      <w:r>
        <w:t xml:space="preserve">. </w:t>
      </w:r>
      <w:r>
        <w:rPr>
          <w:i/>
        </w:rPr>
        <w:t>E</w:t>
      </w:r>
      <w:r>
        <w:rPr>
          <w:vertAlign w:val="subscript"/>
        </w:rPr>
        <w:t>intercept</w:t>
      </w:r>
      <w:r>
        <w:t xml:space="preserve"> sets the baseline stiffness, with nominal value 2 × 10¹¹ Pa. </w:t>
      </w:r>
      <w:r>
        <w:rPr>
          <w:i/>
        </w:rPr>
        <w:t>E</w:t>
      </w:r>
      <w:r>
        <w:rPr>
          <w:vertAlign w:val="subscript"/>
        </w:rPr>
        <w:t>slope</w:t>
      </w:r>
      <w:r>
        <w:t xml:space="preserve"> captures its temperature softening, with nominal value −7 × 10⁷ Pa/K. Poisson's ratio ν, nominal 0.31, characterises the multi-axial stress state. These three parameters control stress through the generalised Hooke's law, σ = C(E, ν) · ε, where C is the fourth-order stiffness tensor.</w:t>
      </w:r>
    </w:p>
    <w:p w:rsidR="00026D0F" w:rsidRDefault="00000000">
      <w:r>
        <w:t>结构力学参数。</w:t>
      </w:r>
      <w:r>
        <w:t xml:space="preserve">SS316 </w:t>
      </w:r>
      <w:r>
        <w:t>基体的温度相关弹性模量建模为温度的线性函数</w:t>
      </w:r>
      <w:r>
        <w:t xml:space="preserve"> E(T) = </w:t>
      </w:r>
      <w:r>
        <w:rPr>
          <w:i/>
        </w:rPr>
        <w:t>E</w:t>
      </w:r>
      <w:r>
        <w:rPr>
          <w:vertAlign w:val="subscript"/>
        </w:rPr>
        <w:t>slope</w:t>
      </w:r>
      <w:r>
        <w:t xml:space="preserve"> · T + </w:t>
      </w:r>
      <w:r>
        <w:rPr>
          <w:i/>
        </w:rPr>
        <w:t>E</w:t>
      </w:r>
      <w:r>
        <w:rPr>
          <w:vertAlign w:val="subscript"/>
        </w:rPr>
        <w:t>intercept</w:t>
      </w:r>
      <w:r>
        <w:t>。</w:t>
      </w:r>
      <w:r>
        <w:rPr>
          <w:i/>
        </w:rPr>
        <w:t>E</w:t>
      </w:r>
      <w:r>
        <w:rPr>
          <w:vertAlign w:val="subscript"/>
        </w:rPr>
        <w:t>intercept</w:t>
      </w:r>
      <w:r>
        <w:t xml:space="preserve"> </w:t>
      </w:r>
      <w:r>
        <w:t>决定基础刚度，标称值</w:t>
      </w:r>
      <w:r>
        <w:t xml:space="preserve"> 2 × 10¹¹ Pa</w:t>
      </w:r>
      <w:r>
        <w:t>；</w:t>
      </w:r>
      <w:r>
        <w:rPr>
          <w:i/>
        </w:rPr>
        <w:t>E</w:t>
      </w:r>
      <w:r>
        <w:rPr>
          <w:vertAlign w:val="subscript"/>
        </w:rPr>
        <w:t>slope</w:t>
      </w:r>
      <w:r>
        <w:t xml:space="preserve"> </w:t>
      </w:r>
      <w:r>
        <w:t>反映温度软化，标称值</w:t>
      </w:r>
      <w:r>
        <w:t xml:space="preserve"> −7 × 10⁷ Pa/K</w:t>
      </w:r>
      <w:r>
        <w:t>。泊松比</w:t>
      </w:r>
      <w:r>
        <w:t xml:space="preserve"> ν </w:t>
      </w:r>
      <w:r>
        <w:t>表征多轴应力状态，标称值</w:t>
      </w:r>
      <w:r>
        <w:t xml:space="preserve"> 0.31</w:t>
      </w:r>
      <w:r>
        <w:t>。三个参数通过广义胡克定律</w:t>
      </w:r>
      <w:r>
        <w:t xml:space="preserve"> σ = C(E, ν) · ε </w:t>
      </w:r>
      <w:r>
        <w:t>控制应力，</w:t>
      </w:r>
      <w:r>
        <w:t xml:space="preserve">C </w:t>
      </w:r>
      <w:r>
        <w:t>为四阶刚度张量。</w:t>
      </w:r>
    </w:p>
    <w:p w:rsidR="00026D0F" w:rsidRDefault="00000000">
      <w:r>
        <w:t>Thermal deformation parameters. The coefficient of thermal expansion is modelled as α(T) = α</w:t>
      </w:r>
      <w:r>
        <w:rPr>
          <w:vertAlign w:val="subscript"/>
        </w:rPr>
        <w:t>base</w:t>
      </w:r>
      <w:r>
        <w:t xml:space="preserve"> + α</w:t>
      </w:r>
      <w:r>
        <w:rPr>
          <w:vertAlign w:val="subscript"/>
        </w:rPr>
        <w:t>slope</w:t>
      </w:r>
      <w:r>
        <w:t xml:space="preserve"> · T. α</w:t>
      </w:r>
      <w:r>
        <w:rPr>
          <w:vertAlign w:val="subscript"/>
        </w:rPr>
        <w:t>base</w:t>
      </w:r>
      <w:r>
        <w:t xml:space="preserve"> is the expansion coefficient at the reference condition, with nominal value 1 × 10⁻⁵ K⁻¹. α</w:t>
      </w:r>
      <w:r>
        <w:rPr>
          <w:vertAlign w:val="subscript"/>
        </w:rPr>
        <w:t>slope</w:t>
      </w:r>
      <w:r>
        <w:t xml:space="preserve"> captures its temperature dependence, with nominal value 5 × 10⁻⁹ K⁻². These two parameters serve a dual role. They govern thermal strain ε_th = α · ΔT, which is the loading source for thermal stress. They also determine the magnitude of core geometric expansion, which is the primary pathway through which material properties affect the neutronic balance.</w:t>
      </w:r>
    </w:p>
    <w:p w:rsidR="00026D0F" w:rsidRDefault="00000000">
      <w:r>
        <w:t>热变形参数。热膨胀系数建模为</w:t>
      </w:r>
      <w:r>
        <w:t xml:space="preserve"> α(T) = α</w:t>
      </w:r>
      <w:r>
        <w:rPr>
          <w:vertAlign w:val="subscript"/>
        </w:rPr>
        <w:t>base</w:t>
      </w:r>
      <w:r>
        <w:t xml:space="preserve"> + α</w:t>
      </w:r>
      <w:r>
        <w:rPr>
          <w:vertAlign w:val="subscript"/>
        </w:rPr>
        <w:t>slope</w:t>
      </w:r>
      <w:r>
        <w:t xml:space="preserve"> · T</w:t>
      </w:r>
      <w:r>
        <w:t>。</w:t>
      </w:r>
      <w:r>
        <w:t>α</w:t>
      </w:r>
      <w:r>
        <w:rPr>
          <w:vertAlign w:val="subscript"/>
        </w:rPr>
        <w:t>base</w:t>
      </w:r>
      <w:r>
        <w:t xml:space="preserve"> </w:t>
      </w:r>
      <w:r>
        <w:t>为参考条件下的膨胀系数，标称值</w:t>
      </w:r>
      <w:r>
        <w:t xml:space="preserve"> 1 × 10⁻⁵ K⁻¹</w:t>
      </w:r>
      <w:r>
        <w:t>；</w:t>
      </w:r>
      <w:r>
        <w:t>α</w:t>
      </w:r>
      <w:r>
        <w:rPr>
          <w:vertAlign w:val="subscript"/>
        </w:rPr>
        <w:t>slope</w:t>
      </w:r>
      <w:r>
        <w:t xml:space="preserve"> </w:t>
      </w:r>
      <w:r>
        <w:t>为温度依赖性，标称值</w:t>
      </w:r>
      <w:r>
        <w:t xml:space="preserve"> 5 × 10⁻⁹ K⁻²</w:t>
      </w:r>
      <w:r>
        <w:t>。这两个参数具有双重角色。其一，控制热应变</w:t>
      </w:r>
      <w:r>
        <w:t xml:space="preserve"> ε_th = α · ΔT</w:t>
      </w:r>
      <w:r>
        <w:t>，即热应力的载荷源；其二，决定堆芯几何膨胀的幅度，亦是材料性质影响中子学平衡的主要路径。</w:t>
      </w:r>
    </w:p>
    <w:p w:rsidR="00026D0F" w:rsidRDefault="00000000">
      <w:r>
        <w:t xml:space="preserve">SS316 thermal transport parameters. The thermal conductivity of the monolith is modelled as k(T) = </w:t>
      </w:r>
      <w:r>
        <w:rPr>
          <w:i/>
        </w:rPr>
        <w:t>k</w:t>
      </w:r>
      <w:r>
        <w:rPr>
          <w:vertAlign w:val="subscript"/>
        </w:rPr>
        <w:t>ref</w:t>
      </w:r>
      <w:r>
        <w:t xml:space="preserve"> + </w:t>
      </w:r>
      <w:r>
        <w:rPr>
          <w:i/>
        </w:rPr>
        <w:t>k</w:t>
      </w:r>
      <w:r>
        <w:rPr>
          <w:vertAlign w:val="subscript"/>
        </w:rPr>
        <w:t>slope</w:t>
      </w:r>
      <w:r>
        <w:t xml:space="preserve"> · (T − </w:t>
      </w:r>
      <w:r>
        <w:rPr>
          <w:i/>
        </w:rPr>
        <w:t>T</w:t>
      </w:r>
      <w:r>
        <w:rPr>
          <w:vertAlign w:val="subscript"/>
        </w:rPr>
        <w:t>ref</w:t>
      </w:r>
      <w:r>
        <w:t xml:space="preserve">). This form introduces three uncertain inputs. The reference conductivity </w:t>
      </w:r>
      <w:r>
        <w:rPr>
          <w:i/>
        </w:rPr>
        <w:t>k</w:t>
      </w:r>
      <w:r>
        <w:rPr>
          <w:vertAlign w:val="subscript"/>
        </w:rPr>
        <w:t>ref</w:t>
      </w:r>
      <w:r>
        <w:t xml:space="preserve"> has nominal value 23.2 W/(m·K). The reference temperature </w:t>
      </w:r>
      <w:r>
        <w:rPr>
          <w:i/>
        </w:rPr>
        <w:t>T</w:t>
      </w:r>
      <w:r>
        <w:rPr>
          <w:vertAlign w:val="subscript"/>
        </w:rPr>
        <w:t>ref</w:t>
      </w:r>
      <w:r>
        <w:t xml:space="preserve"> has nominal value 923.15 K. The temperature-dependence coefficient </w:t>
      </w:r>
      <w:r>
        <w:rPr>
          <w:i/>
        </w:rPr>
        <w:t>k</w:t>
      </w:r>
      <w:r>
        <w:rPr>
          <w:vertAlign w:val="subscript"/>
        </w:rPr>
        <w:t>slope</w:t>
      </w:r>
      <w:r>
        <w:t xml:space="preserve"> has nominal value 1/75 W/(m·K²). Together, these </w:t>
      </w:r>
      <w:r>
        <w:lastRenderedPageBreak/>
        <w:t xml:space="preserve">three parameters control the temperature gradient across the monolith, the physical intermediary between fission power deposition and thermal stress. For consistency with the code and data files released with this work, the source names the three quantities SS316_k_ref, SS316_T_ref and SS316_alpha respectively. The physics symbols </w:t>
      </w:r>
      <w:r>
        <w:rPr>
          <w:i/>
        </w:rPr>
        <w:t>k</w:t>
      </w:r>
      <w:r>
        <w:rPr>
          <w:vertAlign w:val="subscript"/>
        </w:rPr>
        <w:t>ref</w:t>
      </w:r>
      <w:r>
        <w:t xml:space="preserve">, </w:t>
      </w:r>
      <w:r>
        <w:rPr>
          <w:i/>
        </w:rPr>
        <w:t>T</w:t>
      </w:r>
      <w:r>
        <w:rPr>
          <w:vertAlign w:val="subscript"/>
        </w:rPr>
        <w:t>ref</w:t>
      </w:r>
      <w:r>
        <w:t xml:space="preserve"> and </w:t>
      </w:r>
      <w:r>
        <w:rPr>
          <w:i/>
        </w:rPr>
        <w:t>k</w:t>
      </w:r>
      <w:r>
        <w:rPr>
          <w:vertAlign w:val="subscript"/>
        </w:rPr>
        <w:t>slope</w:t>
      </w:r>
      <w:r>
        <w:t xml:space="preserve"> are used throughout the manuscript.</w:t>
      </w:r>
    </w:p>
    <w:p w:rsidR="00026D0F" w:rsidRDefault="00000000">
      <w:r>
        <w:t xml:space="preserve">SS316 </w:t>
      </w:r>
      <w:r>
        <w:t>热传导参数。基体热导率建模为</w:t>
      </w:r>
      <w:r>
        <w:t xml:space="preserve"> k(T) = </w:t>
      </w:r>
      <w:r>
        <w:rPr>
          <w:i/>
        </w:rPr>
        <w:t>k</w:t>
      </w:r>
      <w:r>
        <w:rPr>
          <w:vertAlign w:val="subscript"/>
        </w:rPr>
        <w:t>ref</w:t>
      </w:r>
      <w:r>
        <w:t xml:space="preserve"> + </w:t>
      </w:r>
      <w:r>
        <w:rPr>
          <w:i/>
        </w:rPr>
        <w:t>k</w:t>
      </w:r>
      <w:r>
        <w:rPr>
          <w:vertAlign w:val="subscript"/>
        </w:rPr>
        <w:t>slope</w:t>
      </w:r>
      <w:r>
        <w:t xml:space="preserve"> · (T − </w:t>
      </w:r>
      <w:r>
        <w:rPr>
          <w:i/>
        </w:rPr>
        <w:t>T</w:t>
      </w:r>
      <w:r>
        <w:rPr>
          <w:vertAlign w:val="subscript"/>
        </w:rPr>
        <w:t>ref</w:t>
      </w:r>
      <w:r>
        <w:t>)</w:t>
      </w:r>
      <w:r>
        <w:t>。该形式引入三个不确定输入。参考热导率</w:t>
      </w:r>
      <w:r>
        <w:t xml:space="preserve"> </w:t>
      </w:r>
      <w:r>
        <w:rPr>
          <w:i/>
        </w:rPr>
        <w:t>k</w:t>
      </w:r>
      <w:r>
        <w:rPr>
          <w:vertAlign w:val="subscript"/>
        </w:rPr>
        <w:t>ref</w:t>
      </w:r>
      <w:r>
        <w:t xml:space="preserve"> </w:t>
      </w:r>
      <w:r>
        <w:t>标称值</w:t>
      </w:r>
      <w:r>
        <w:t xml:space="preserve"> 23.2 W/(m·K)</w:t>
      </w:r>
      <w:r>
        <w:t>；参考温度</w:t>
      </w:r>
      <w:r>
        <w:t xml:space="preserve"> </w:t>
      </w:r>
      <w:r>
        <w:rPr>
          <w:i/>
        </w:rPr>
        <w:t>T</w:t>
      </w:r>
      <w:r>
        <w:rPr>
          <w:vertAlign w:val="subscript"/>
        </w:rPr>
        <w:t>ref</w:t>
      </w:r>
      <w:r>
        <w:t xml:space="preserve"> </w:t>
      </w:r>
      <w:r>
        <w:t>标称值</w:t>
      </w:r>
      <w:r>
        <w:t xml:space="preserve"> 923.15 K</w:t>
      </w:r>
      <w:r>
        <w:t>；温度依赖系数</w:t>
      </w:r>
      <w:r>
        <w:t xml:space="preserve"> </w:t>
      </w:r>
      <w:r>
        <w:rPr>
          <w:i/>
        </w:rPr>
        <w:t>k</w:t>
      </w:r>
      <w:r>
        <w:rPr>
          <w:vertAlign w:val="subscript"/>
        </w:rPr>
        <w:t>slope</w:t>
      </w:r>
      <w:r>
        <w:t xml:space="preserve"> </w:t>
      </w:r>
      <w:r>
        <w:t>标称值</w:t>
      </w:r>
      <w:r>
        <w:t xml:space="preserve"> 1/75 W/(m·K²)</w:t>
      </w:r>
      <w:r>
        <w:t>。三者共同决定基体内部温度梯度，即裂变功率沉积与热应力之间的物理中间量。为与本文公开代码与数据保持一致，源代码中三者分别记作</w:t>
      </w:r>
      <w:r>
        <w:t xml:space="preserve"> SS316_k_ref</w:t>
      </w:r>
      <w:r>
        <w:t>、</w:t>
      </w:r>
      <w:r>
        <w:t xml:space="preserve"> SS316_T_ref </w:t>
      </w:r>
      <w:r>
        <w:t>与</w:t>
      </w:r>
      <w:r>
        <w:t xml:space="preserve"> SS316_alpha</w:t>
      </w:r>
      <w:r>
        <w:t>。正文统一使用物理符号</w:t>
      </w:r>
      <w:r>
        <w:t xml:space="preserve"> </w:t>
      </w:r>
      <w:r>
        <w:rPr>
          <w:i/>
        </w:rPr>
        <w:t>k</w:t>
      </w:r>
      <w:r>
        <w:rPr>
          <w:vertAlign w:val="subscript"/>
        </w:rPr>
        <w:t>ref</w:t>
      </w:r>
      <w:r>
        <w:t>、</w:t>
      </w:r>
      <w:r>
        <w:rPr>
          <w:i/>
        </w:rPr>
        <w:t>T</w:t>
      </w:r>
      <w:r>
        <w:rPr>
          <w:vertAlign w:val="subscript"/>
        </w:rPr>
        <w:t>ref</w:t>
      </w:r>
      <w:r>
        <w:t xml:space="preserve"> </w:t>
      </w:r>
      <w:r>
        <w:t>与</w:t>
      </w:r>
      <w:r>
        <w:t xml:space="preserve"> </w:t>
      </w:r>
      <w:r>
        <w:rPr>
          <w:i/>
        </w:rPr>
        <w:t>k</w:t>
      </w:r>
      <w:r>
        <w:rPr>
          <w:vertAlign w:val="subscript"/>
        </w:rPr>
        <w:t>slope</w:t>
      </w:r>
      <w:r>
        <w:t>。</w:t>
      </w:r>
    </w:p>
    <w:p w:rsidR="00026D0F" w:rsidRDefault="00000000">
      <w:r>
        <w:t>All eight parameters are assigned independent uniform priors with half-width 10% of the nominal design value, θ_k ~ U[0.9 θ_nom,k, 1.1 θ_nom,k]; the priors are summarised in Table 1. The ±10% range is a conventional uncertainty margin for manufactured stainless-steel properties. The same prior distribution is used throughout the workflow: as the sampling distribution in forward UQ (Section 4.4), as the input domain for Sobol analysis (Section 4.5), and as the prior in posterior calibration (Section 4.6).</w:t>
      </w:r>
    </w:p>
    <w:p w:rsidR="00026D0F" w:rsidRDefault="00000000">
      <w:r>
        <w:t>全部</w:t>
      </w:r>
      <w:r>
        <w:t xml:space="preserve"> 8 </w:t>
      </w:r>
      <w:r>
        <w:t>个参数赋予独立均匀先验，半宽为标称值的</w:t>
      </w:r>
      <w:r>
        <w:t xml:space="preserve"> 10%</w:t>
      </w:r>
      <w:r>
        <w:t>，</w:t>
      </w:r>
      <w:r>
        <w:t xml:space="preserve"> θ_k ~ U[0.9 θ_nom,k, 1.1 θ_nom,k]</w:t>
      </w:r>
      <w:r>
        <w:t>；先验汇总于表</w:t>
      </w:r>
      <w:r>
        <w:t xml:space="preserve"> 1</w:t>
      </w:r>
      <w:r>
        <w:t>。</w:t>
      </w:r>
      <w:r>
        <w:t xml:space="preserve">±10% </w:t>
      </w:r>
      <w:r>
        <w:t>区间是制造级不锈钢性质的常规不确定性裕量。该先验分布在整套工作流中统一使用：在</w:t>
      </w:r>
      <w:r>
        <w:t xml:space="preserve"> §4.4 </w:t>
      </w:r>
      <w:r>
        <w:t>前向</w:t>
      </w:r>
      <w:r>
        <w:t xml:space="preserve"> UQ </w:t>
      </w:r>
      <w:r>
        <w:t>中作为采样分布，在</w:t>
      </w:r>
      <w:r>
        <w:t xml:space="preserve"> §4.5 Sobol </w:t>
      </w:r>
      <w:r>
        <w:t>分析中作为输入域，在</w:t>
      </w:r>
      <w:r>
        <w:t xml:space="preserve"> §4.6 </w:t>
      </w:r>
      <w:r>
        <w:t>后验标定中作为先验。</w:t>
      </w:r>
    </w:p>
    <w:p w:rsidR="00026D0F" w:rsidRDefault="00000000">
      <w:pPr>
        <w:pStyle w:val="21"/>
      </w:pPr>
      <w:r>
        <w:t xml:space="preserve">4.2 </w:t>
      </w:r>
      <w:r>
        <w:t>耦合高保真仿真</w:t>
      </w:r>
      <w:r>
        <w:t xml:space="preserve"> / Coupled High-Fidelity Simulation</w:t>
      </w:r>
    </w:p>
    <w:p w:rsidR="00026D0F" w:rsidRDefault="00000000">
      <w:r>
        <w:t xml:space="preserve">The high-fidelity (HF) workflow couples OpenMC Monte Carlo neutronics with the FEniCS finite-element solver through a Picard fixed-point iteration scheme [9]. The iteration starts from the eight material parameters and the reference core geometry. OpenMC then computes the neutron multiplication factor </w:t>
      </w:r>
      <w:r>
        <w:rPr>
          <w:i/>
        </w:rPr>
        <w:t>k</w:t>
      </w:r>
      <w:r>
        <w:rPr>
          <w:vertAlign w:val="subscript"/>
        </w:rPr>
        <w:t>eff</w:t>
      </w:r>
      <w:r>
        <w:t xml:space="preserve"> and the spatially resolved fission power distribution. These quantities are passed to the FEniCS thermo-elastic module, which solves for the temperature field, the thermal expansion displacement and the stress field. The updated geometry and temperature-dependent material cross-sections are then fed back to OpenMC for the next iteration. </w:t>
      </w:r>
      <w:r>
        <w:lastRenderedPageBreak/>
        <w:t>Convergence is declared when the maximum temperature difference between consecutive iterations falls below 1 K. An under-relaxation factor of 0.1 is applied to stabilise the iteration [9].</w:t>
      </w:r>
    </w:p>
    <w:p w:rsidR="00026D0F" w:rsidRDefault="00000000">
      <w:r>
        <w:t>高保真（</w:t>
      </w:r>
      <w:r>
        <w:t>HF</w:t>
      </w:r>
      <w:r>
        <w:t>）工作流通过</w:t>
      </w:r>
      <w:r>
        <w:t xml:space="preserve"> Picard </w:t>
      </w:r>
      <w:r>
        <w:t>不动点迭代方案耦合</w:t>
      </w:r>
      <w:r>
        <w:t xml:space="preserve"> OpenMC </w:t>
      </w:r>
      <w:r>
        <w:t>蒙特卡洛中子学与</w:t>
      </w:r>
      <w:r>
        <w:t xml:space="preserve"> FEniCS </w:t>
      </w:r>
      <w:r>
        <w:t>有限元求解器</w:t>
      </w:r>
      <w:r>
        <w:t xml:space="preserve"> [9]</w:t>
      </w:r>
      <w:r>
        <w:t>。迭代从八个材料参数与参考堆芯几何出发。</w:t>
      </w:r>
      <w:r>
        <w:t xml:space="preserve">OpenMC </w:t>
      </w:r>
      <w:r>
        <w:t>计算中子增殖因子</w:t>
      </w:r>
      <w:r>
        <w:t xml:space="preserve"> </w:t>
      </w:r>
      <w:r>
        <w:rPr>
          <w:i/>
        </w:rPr>
        <w:t>k</w:t>
      </w:r>
      <w:r>
        <w:rPr>
          <w:vertAlign w:val="subscript"/>
        </w:rPr>
        <w:t>eff</w:t>
      </w:r>
      <w:r>
        <w:t xml:space="preserve"> </w:t>
      </w:r>
      <w:r>
        <w:t>与空间分辨的裂变功率分布。上述结果传递给</w:t>
      </w:r>
      <w:r>
        <w:t xml:space="preserve"> FEniCS </w:t>
      </w:r>
      <w:r>
        <w:t>热弹性模块，求解温度场、热膨胀位移与应力场。更新后的几何与温度相关材料截面反馈回</w:t>
      </w:r>
      <w:r>
        <w:t xml:space="preserve"> OpenMC</w:t>
      </w:r>
      <w:r>
        <w:t>，进入下一轮迭代。当连续迭代间最大温差低于</w:t>
      </w:r>
      <w:r>
        <w:t xml:space="preserve"> 1 K </w:t>
      </w:r>
      <w:r>
        <w:t>时判定收敛。迭代采用</w:t>
      </w:r>
      <w:r>
        <w:t xml:space="preserve"> 0.1 </w:t>
      </w:r>
      <w:r>
        <w:t>的亚松弛因子以保证稳定</w:t>
      </w:r>
      <w:r>
        <w:t xml:space="preserve"> [9]</w:t>
      </w:r>
      <w:r>
        <w:t>。</w:t>
      </w:r>
    </w:p>
    <w:p w:rsidR="00026D0F" w:rsidRDefault="00000000">
      <w:r>
        <w:t>Two fidelity levels are retained from this iteration process. The decoupled single-pass prediction consists of the outputs after the first iteration, before coupling convergence. At this point FEniCS has received the initial-geometry power distribution from OpenMC and has produced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sidR="00026D0F" w:rsidRDefault="00000000">
      <w:r>
        <w:t>迭代过程保留两个精度层次。解耦单轮预测为耦合收敛前的首轮输出，此时</w:t>
      </w:r>
      <w:r>
        <w:t xml:space="preserve"> FEniCS </w:t>
      </w:r>
      <w:r>
        <w:t>接收</w:t>
      </w:r>
      <w:r>
        <w:t xml:space="preserve"> OpenMC </w:t>
      </w:r>
      <w:r>
        <w:t>的初始几何功率分布，产生无反馈的热力输出。耦合稳态预测为完全收敛后的输出。比较两者可分离多物理耦合对输出分布的影响。</w:t>
      </w:r>
      <w:r>
        <w:t xml:space="preserve">BNN </w:t>
      </w:r>
      <w:r>
        <w:t>同时预测两个层次。</w:t>
      </w:r>
    </w:p>
    <w:p w:rsidR="00026D0F" w:rsidRDefault="00000000">
      <w:r>
        <w:t xml:space="preserve">Each HF evaluation produces 15 scalar outputs. The 7 decoupled outputs are average fuel temperature, peak fuel temperature, peak monolith temperature, peak global stress, monolith mean temperature, core height after expansion and wall expansion. The 8 coupled outputs add </w:t>
      </w:r>
      <w:r>
        <w:rPr>
          <w:i/>
        </w:rPr>
        <w:t>k</w:t>
      </w:r>
      <w:r>
        <w:rPr>
          <w:vertAlign w:val="subscript"/>
        </w:rPr>
        <w:t>eff</w:t>
      </w:r>
      <w:r>
        <w:t xml:space="preserve"> to the same 7 thermal-structural quantities after convergence. The posterior likelihood of Section 4.6 uses 5 primary outputs: coupled peak global stress, coupled peak fuel temperature, coupled peak monolith temperature, coupled wall expansion and </w:t>
      </w:r>
      <w:r>
        <w:rPr>
          <w:i/>
        </w:rPr>
        <w:t>k</w:t>
      </w:r>
      <w:r>
        <w:rPr>
          <w:vertAlign w:val="subscript"/>
        </w:rPr>
        <w:t>eff</w:t>
      </w:r>
      <w:r>
        <w:t>.</w:t>
      </w:r>
    </w:p>
    <w:p w:rsidR="00026D0F" w:rsidRDefault="00000000">
      <w:r>
        <w:t>每次</w:t>
      </w:r>
      <w:r>
        <w:t xml:space="preserve"> HF </w:t>
      </w:r>
      <w:r>
        <w:t>评估产生</w:t>
      </w:r>
      <w:r>
        <w:t xml:space="preserve"> 15 </w:t>
      </w:r>
      <w:r>
        <w:t>个标量输出。</w:t>
      </w:r>
      <w:r>
        <w:t xml:space="preserve">7 </w:t>
      </w:r>
      <w:r>
        <w:t>个解耦输出包括平均燃料温度、峰值燃料温度、峰值基体温度、峰值全局应力、基体均温、膨胀后堆芯高度与壁面膨胀量。</w:t>
      </w:r>
      <w:r>
        <w:t xml:space="preserve">8 </w:t>
      </w:r>
      <w:r>
        <w:t>个耦合输出在收</w:t>
      </w:r>
      <w:r>
        <w:lastRenderedPageBreak/>
        <w:t>敛后于上述</w:t>
      </w:r>
      <w:r>
        <w:t xml:space="preserve"> 7 </w:t>
      </w:r>
      <w:r>
        <w:t>个热力量基础上加入</w:t>
      </w:r>
      <w:r>
        <w:t xml:space="preserve"> </w:t>
      </w:r>
      <w:r>
        <w:rPr>
          <w:i/>
        </w:rPr>
        <w:t>k</w:t>
      </w:r>
      <w:r>
        <w:rPr>
          <w:vertAlign w:val="subscript"/>
        </w:rPr>
        <w:t>eff</w:t>
      </w:r>
      <w:r>
        <w:t>。</w:t>
      </w:r>
      <w:r>
        <w:t xml:space="preserve"> §4.6 </w:t>
      </w:r>
      <w:r>
        <w:t>后验似然使用</w:t>
      </w:r>
      <w:r>
        <w:t xml:space="preserve"> 5 </w:t>
      </w:r>
      <w:r>
        <w:t>个主输出：耦合峰值全局应力、耦合峰值燃料温度、耦合峰值基体温度、耦合壁面膨胀量与</w:t>
      </w:r>
      <w:r>
        <w:t xml:space="preserve"> </w:t>
      </w:r>
      <w:r>
        <w:rPr>
          <w:i/>
        </w:rPr>
        <w:t>k</w:t>
      </w:r>
      <w:r>
        <w:rPr>
          <w:vertAlign w:val="subscript"/>
        </w:rPr>
        <w:t>eff</w:t>
      </w:r>
      <w:r>
        <w:t>。</w:t>
      </w:r>
    </w:p>
    <w:p w:rsidR="00026D0F" w:rsidRDefault="00000000">
      <w:r>
        <w:t>A dataset of n = 2900 samples was generated by Latin hypercube sampling over the 8-dimensional prior. The samples were split into training, validation and test sets with a fixed random seed (seed = 2026): 2029 training (~70%), 436 validation (~15%) and 435 test (~15%). This split is reused across all experiments for reproducibility. The BNN maps directly from the 8 input parameters to the 15 scalar outputs without resolving intermediate coupling fields.</w:t>
      </w:r>
    </w:p>
    <w:p w:rsidR="00026D0F" w:rsidRDefault="00000000">
      <w:r>
        <w:t>通过拉丁超立方采样在</w:t>
      </w:r>
      <w:r>
        <w:t xml:space="preserve"> 8 </w:t>
      </w:r>
      <w:r>
        <w:t>维先验空间上生成</w:t>
      </w:r>
      <w:r>
        <w:t xml:space="preserve"> n = 2900 </w:t>
      </w:r>
      <w:r>
        <w:t>个样本。样本以固定随机种子（</w:t>
      </w:r>
      <w:r>
        <w:t>seed = 2026</w:t>
      </w:r>
      <w:r>
        <w:t>）划分为训练集</w:t>
      </w:r>
      <w:r>
        <w:t xml:space="preserve"> 2029 </w:t>
      </w:r>
      <w:r>
        <w:t>个（约</w:t>
      </w:r>
      <w:r>
        <w:t xml:space="preserve"> 70%</w:t>
      </w:r>
      <w:r>
        <w:t>）、验证集</w:t>
      </w:r>
      <w:r>
        <w:t xml:space="preserve"> 436 </w:t>
      </w:r>
      <w:r>
        <w:t>个（约</w:t>
      </w:r>
      <w:r>
        <w:t xml:space="preserve"> 15%</w:t>
      </w:r>
      <w:r>
        <w:t>）与测试集</w:t>
      </w:r>
      <w:r>
        <w:t xml:space="preserve"> 435 </w:t>
      </w:r>
      <w:r>
        <w:t>个（约</w:t>
      </w:r>
      <w:r>
        <w:t xml:space="preserve"> 15%</w:t>
      </w:r>
      <w:r>
        <w:t>）。该划分在所有实验中复用以保证可重复性。</w:t>
      </w:r>
      <w:r>
        <w:t xml:space="preserve">BNN </w:t>
      </w:r>
      <w:r>
        <w:t>直接从</w:t>
      </w:r>
      <w:r>
        <w:t xml:space="preserve"> 8 </w:t>
      </w:r>
      <w:r>
        <w:t>个输入参数映射到</w:t>
      </w:r>
      <w:r>
        <w:t xml:space="preserve"> 15 </w:t>
      </w:r>
      <w:r>
        <w:t>个标量输出，不解析中间耦合场。</w:t>
      </w:r>
    </w:p>
    <w:p w:rsidR="00026D0F" w:rsidRDefault="00000000">
      <w:pPr>
        <w:pStyle w:val="21"/>
      </w:pPr>
      <w:r>
        <w:t xml:space="preserve">4.3 </w:t>
      </w:r>
      <w:r>
        <w:t>贝叶斯神经网络代理</w:t>
      </w:r>
      <w:r>
        <w:t xml:space="preserve"> / Bayesian Neural Network Surrogate</w:t>
      </w:r>
    </w:p>
    <w:p w:rsidR="00026D0F" w:rsidRDefault="00000000">
      <w:r>
        <w:t>The surrogate is a Bayesian neural network (BNN). A deterministic network returns a single point prediction. A BNN, by contrast, places a prior distribution over the network weights. After training, it represents knowledge of the input–output map through a posterior distribution over those weights. The resulting posterior predictive distribution is the shared basis on which forward UQ, sensitivity attribution and MCMC calibration all operate. The predictive variance can be decomposed into epistemic (weight-uncertainty) and aleatoric (observation-noise) components; that decomposition is reported in the Appendix as a diagnostic.</w:t>
      </w:r>
    </w:p>
    <w:p w:rsidR="00026D0F" w:rsidRDefault="00000000">
      <w:r>
        <w:t>代理模型为贝叶斯神经网络（</w:t>
      </w:r>
      <w:r>
        <w:t>BNN</w:t>
      </w:r>
      <w:r>
        <w:t>）。确定性网络返回单点预测；</w:t>
      </w:r>
      <w:r>
        <w:t xml:space="preserve">BNN </w:t>
      </w:r>
      <w:r>
        <w:t>则对网络权重引入先验分布。训练完成后，它通过权重的后验分布来表示输入</w:t>
      </w:r>
      <w:r>
        <w:t>–</w:t>
      </w:r>
      <w:r>
        <w:t>输出映射的知识。由此得到的后验预测分布是前向</w:t>
      </w:r>
      <w:r>
        <w:t xml:space="preserve"> UQ</w:t>
      </w:r>
      <w:r>
        <w:t>、敏感性归因与</w:t>
      </w:r>
      <w:r>
        <w:t xml:space="preserve"> MCMC </w:t>
      </w:r>
      <w:r>
        <w:t>标定的共享基础。预测方差可分解为认识论（权重不确定性）与偶然（观测噪声）分量，该分解在附录中作为诊断信息报告。</w:t>
      </w:r>
    </w:p>
    <w:p w:rsidR="00026D0F" w:rsidRDefault="00000000">
      <w:r>
        <w:t xml:space="preserve">The BNN uses a fully connected backbone with depth 3–8 layers, width 64–256 per layer and SiLU activation. The final layer exposes two output heads. The mean head produces μ ∈ ℝ¹⁵. The log-variance head produces log σ²_obs ∈ ℝ¹⁵, clamped to [−20, 5] for numerical stability, and </w:t>
      </w:r>
      <w:r>
        <w:lastRenderedPageBreak/>
        <w:t>models aleatoric observation noise. Before training, the 8 input parameters and 15 output targets are standardised to zero mean and unit variance using training-set statistics.</w:t>
      </w:r>
    </w:p>
    <w:p w:rsidR="00026D0F" w:rsidRDefault="00000000">
      <w:r>
        <w:t xml:space="preserve">BNN </w:t>
      </w:r>
      <w:r>
        <w:t>采用全连接主干，深度</w:t>
      </w:r>
      <w:r>
        <w:t xml:space="preserve"> 3–8 </w:t>
      </w:r>
      <w:r>
        <w:t>层，每层宽度</w:t>
      </w:r>
      <w:r>
        <w:t xml:space="preserve"> 64–256</w:t>
      </w:r>
      <w:r>
        <w:t>，</w:t>
      </w:r>
      <w:r>
        <w:t xml:space="preserve">SiLU </w:t>
      </w:r>
      <w:r>
        <w:t>激活。最末层并列两个输出头。均值头输出</w:t>
      </w:r>
      <w:r>
        <w:t xml:space="preserve"> μ ∈ ℝ¹⁵</w:t>
      </w:r>
      <w:r>
        <w:t>；对数方差头输出</w:t>
      </w:r>
      <w:r>
        <w:t xml:space="preserve"> log σ²_obs ∈ ℝ¹⁵</w:t>
      </w:r>
      <w:r>
        <w:t>，限幅至</w:t>
      </w:r>
      <w:r>
        <w:t xml:space="preserve"> [−20, 5] </w:t>
      </w:r>
      <w:r>
        <w:t>以保证数值稳定，用于建模偶然观测噪声。训练前，使用训练集统计量将</w:t>
      </w:r>
      <w:r>
        <w:t xml:space="preserve"> 8 </w:t>
      </w:r>
      <w:r>
        <w:t>个输入参数与</w:t>
      </w:r>
      <w:r>
        <w:t xml:space="preserve"> 15 </w:t>
      </w:r>
      <w:r>
        <w:t>个输出目标标准化为零均值、单位方差。</w:t>
      </w:r>
    </w:p>
    <w:p w:rsidR="00026D0F" w:rsidRDefault="00000000">
      <w:r>
        <w:t>Let f_w denote the network with weights w. The model assumes a Gaussian likelihood per output channel,</w:t>
      </w:r>
    </w:p>
    <w:p w:rsidR="00026D0F" w:rsidRDefault="00000000">
      <w:pPr>
        <w:spacing w:before="80" w:after="80"/>
        <w:jc w:val="center"/>
      </w:pPr>
      <m:oMathPara>
        <m:oMath>
          <m:r>
            <w:rPr>
              <w:rFonts w:ascii="Cambria Math" w:hAnsi="Cambria Math"/>
            </w:rPr>
            <m:t>y_j | θ, w ~ N(μ_{j,w}(θ), σ²_{obs,j,w}(θ)),   j = 1, …, 15,</m:t>
          </m:r>
        </m:oMath>
      </m:oMathPara>
    </w:p>
    <w:p w:rsidR="00026D0F" w:rsidRDefault="00000000">
      <w:r>
        <w:t>with an isotropic Gaussian weight prior p(w) = N(0, σ²_p I). The prior scale σ</w:t>
      </w:r>
      <w:r>
        <w:rPr>
          <w:vertAlign w:val="subscript"/>
        </w:rPr>
        <w:t>p</w:t>
      </w:r>
      <w:r>
        <w:t xml:space="preserve"> is treated as a hyperparameter; the default is 1.0 and the value is Optuna-searchable. Training then produces an approximate posterior q(w) ≈ p(w | D) over the weights, where D denotes the training set. The posterior predictive distribution at a new input θ is obtained by marginalising over q(w):</w:t>
      </w:r>
    </w:p>
    <w:p w:rsidR="00026D0F" w:rsidRDefault="00000000">
      <w:pPr>
        <w:spacing w:before="80" w:after="80"/>
        <w:jc w:val="center"/>
      </w:pPr>
      <m:oMathPara>
        <m:oMath>
          <m:r>
            <w:rPr>
              <w:rFonts w:ascii="Cambria Math" w:hAnsi="Cambria Math"/>
            </w:rPr>
            <m:t>p(y | θ, D) = ∫ p(y | θ, w) q(w) dw</m:t>
          </m:r>
        </m:oMath>
      </m:oMathPara>
    </w:p>
    <w:p w:rsidR="00026D0F" w:rsidRDefault="00000000">
      <w:pPr>
        <w:spacing w:before="80" w:after="80"/>
        <w:jc w:val="center"/>
      </w:pPr>
      <m:oMathPara>
        <m:oMath>
          <m:r>
            <w:rPr>
              <w:rFonts w:ascii="Cambria Math" w:hAnsi="Cambria Math"/>
            </w:rPr>
            <m:t>≈ (1/M) Σ_{m=1..M} p(y | θ, w^(m)),   w^(m) ~ q(w).</m:t>
          </m:r>
        </m:oMath>
      </m:oMathPara>
    </w:p>
    <w:p w:rsidR="00026D0F" w:rsidRDefault="00000000">
      <w:r>
        <w:t>记网络为</w:t>
      </w:r>
      <w:r>
        <w:t xml:space="preserve"> f_w</w:t>
      </w:r>
      <w:r>
        <w:t>，权重为</w:t>
      </w:r>
      <w:r>
        <w:t xml:space="preserve"> w</w:t>
      </w:r>
      <w:r>
        <w:t>。模型对每个输出通道假设高斯似然，</w:t>
      </w:r>
    </w:p>
    <w:p w:rsidR="00026D0F" w:rsidRDefault="00000000">
      <w:pPr>
        <w:spacing w:before="80" w:after="80"/>
        <w:jc w:val="center"/>
      </w:pPr>
      <m:oMathPara>
        <m:oMath>
          <m:r>
            <w:rPr>
              <w:rFonts w:ascii="Cambria Math" w:hAnsi="Cambria Math"/>
            </w:rPr>
            <m:t>y_j | θ, w ~ N(μ_{j,w}(θ), σ²_{obs,j,w}(θ))</m:t>
          </m:r>
          <m:r>
            <w:rPr>
              <w:rFonts w:ascii="Cambria Math" w:hAnsi="Cambria Math"/>
            </w:rPr>
            <m:t>，</m:t>
          </m:r>
          <m:r>
            <w:rPr>
              <w:rFonts w:ascii="Cambria Math" w:hAnsi="Cambria Math"/>
            </w:rPr>
            <m:t>j = 1, …, 15</m:t>
          </m:r>
          <m:r>
            <w:rPr>
              <w:rFonts w:ascii="Cambria Math" w:hAnsi="Cambria Math"/>
            </w:rPr>
            <m:t>，</m:t>
          </m:r>
        </m:oMath>
      </m:oMathPara>
    </w:p>
    <w:p w:rsidR="00026D0F" w:rsidRDefault="00000000">
      <w:r>
        <w:t>权重先验为各向同性高斯</w:t>
      </w:r>
      <w:r>
        <w:t xml:space="preserve"> p(w) = N(0, σ²_p I)</w:t>
      </w:r>
      <w:r>
        <w:t>。先验尺度</w:t>
      </w:r>
      <w:r>
        <w:t xml:space="preserve"> σ</w:t>
      </w:r>
      <w:r>
        <w:rPr>
          <w:vertAlign w:val="subscript"/>
        </w:rPr>
        <w:t>p</w:t>
      </w:r>
      <w:r>
        <w:t xml:space="preserve"> </w:t>
      </w:r>
      <w:r>
        <w:t>作为超参处理，默认值</w:t>
      </w:r>
      <w:r>
        <w:t xml:space="preserve"> 1.0</w:t>
      </w:r>
      <w:r>
        <w:t>，并可经</w:t>
      </w:r>
      <w:r>
        <w:t xml:space="preserve"> Optuna </w:t>
      </w:r>
      <w:r>
        <w:t>搜索。训练得到权重的近似后验</w:t>
      </w:r>
      <w:r>
        <w:t xml:space="preserve"> q(w) ≈ p(w | D)</w:t>
      </w:r>
      <w:r>
        <w:t>，其中</w:t>
      </w:r>
      <w:r>
        <w:t xml:space="preserve"> D </w:t>
      </w:r>
      <w:r>
        <w:t>为训练集。新输入</w:t>
      </w:r>
      <w:r>
        <w:t xml:space="preserve"> θ </w:t>
      </w:r>
      <w:r>
        <w:t>处的后验预测分布通过对</w:t>
      </w:r>
      <w:r>
        <w:t xml:space="preserve"> q(w) </w:t>
      </w:r>
      <w:r>
        <w:t>边缘化得到：</w:t>
      </w:r>
    </w:p>
    <w:p w:rsidR="00026D0F" w:rsidRDefault="00000000">
      <w:pPr>
        <w:spacing w:before="80" w:after="80"/>
        <w:jc w:val="center"/>
      </w:pPr>
      <m:oMathPara>
        <m:oMath>
          <m:r>
            <w:rPr>
              <w:rFonts w:ascii="Cambria Math" w:hAnsi="Cambria Math"/>
            </w:rPr>
            <m:t>p(y | θ, D) = ∫ p(y | θ, w) q(w) dw</m:t>
          </m:r>
        </m:oMath>
      </m:oMathPara>
    </w:p>
    <w:p w:rsidR="00026D0F" w:rsidRDefault="00000000">
      <w:pPr>
        <w:spacing w:before="80" w:after="80"/>
        <w:jc w:val="center"/>
      </w:pPr>
      <m:oMathPara>
        <m:oMath>
          <m:r>
            <w:rPr>
              <w:rFonts w:ascii="Cambria Math" w:hAnsi="Cambria Math"/>
            </w:rPr>
            <m:t>≈ (1/M) Σ_{m=1..M} p(y | θ, w^(m))</m:t>
          </m:r>
          <m:r>
            <w:rPr>
              <w:rFonts w:ascii="Cambria Math" w:hAnsi="Cambria Math"/>
            </w:rPr>
            <m:t>，</m:t>
          </m:r>
          <m:r>
            <w:rPr>
              <w:rFonts w:ascii="Cambria Math" w:hAnsi="Cambria Math"/>
            </w:rPr>
            <m:t>w^(m) ~ q(w)</m:t>
          </m:r>
          <m:r>
            <w:rPr>
              <w:rFonts w:ascii="Cambria Math" w:hAnsi="Cambria Math"/>
            </w:rPr>
            <m:t>。</m:t>
          </m:r>
        </m:oMath>
      </m:oMathPara>
    </w:p>
    <w:p w:rsidR="00026D0F" w:rsidRDefault="00000000">
      <w:r>
        <w:t xml:space="preserve">The exact posterior p(w | D) is intractable because marginalising the likelihood over the high-dimensional weight space has no closed form. The BNN is therefore trained by mean-field variational inference (MFVI) in the Bayes-by-Backprop formulation [10]. MFVI approximates the true posterior by a factorised distribution q(w) whose parameters are optimised to minimise KL[q ‖ p(w | D)]. Each weight is endowed with an independent Gaussian variational posterior, </w:t>
      </w:r>
      <w:r>
        <w:lastRenderedPageBreak/>
        <w:t>q(w) = Π_ℓ N(μ_ℓ, softplus(ρ_ℓ)²). The variational parameters {μ_ℓ, ρ_ℓ} are optimised by maximising the ELBO with the reparameterisation gradient. The training objective is the negative evidence lower bound,</w:t>
      </w:r>
    </w:p>
    <w:p w:rsidR="00026D0F" w:rsidRDefault="00000000">
      <w:pPr>
        <w:spacing w:before="80" w:after="80"/>
        <w:jc w:val="center"/>
      </w:pPr>
      <m:oMathPara>
        <m:oMath>
          <m:r>
            <w:rPr>
              <w:rFonts w:ascii="Cambria Math" w:hAnsi="Cambria Math"/>
            </w:rPr>
            <m:t>L(φ) = - E_{q_φ(w)}[log p(D | w)] + KL[q_φ(w) ‖ p(w)],</m:t>
          </m:r>
        </m:oMath>
      </m:oMathPara>
    </w:p>
    <w:p w:rsidR="00026D0F" w:rsidRDefault="00000000">
      <w:r>
        <w:t>where φ collects the variational parameters. The first term is a heteroscedastic Gaussian negative log-likelihood over the training set. The second term is the Kullback–Leibler divergence between the variational posterior and the prior; it regularises q(w) toward the prior and prevents overfitting to the training set. A KL annealing schedule is applied: the KL weight is ramped linearly from zero to one over the first fraction of training epochs, so that the network first learns a good mean-field fit to the data before the prior penalty takes full effect. Without this warm-up, the KL term can collapse the variational posterior to the prior before the data-fit term has converged, resulting in underfitting.</w:t>
      </w:r>
    </w:p>
    <w:p w:rsidR="00026D0F" w:rsidRDefault="00000000">
      <w:r>
        <w:t>精确后验</w:t>
      </w:r>
      <w:r>
        <w:t xml:space="preserve"> p(w | D) </w:t>
      </w:r>
      <w:r>
        <w:t>不可解析，因为在高维权重空间上对似然求边缘化无封闭形式。因此</w:t>
      </w:r>
      <w:r>
        <w:t xml:space="preserve"> BNN </w:t>
      </w:r>
      <w:r>
        <w:t>采用</w:t>
      </w:r>
      <w:r>
        <w:t xml:space="preserve"> Bayes-by-Backprop </w:t>
      </w:r>
      <w:r>
        <w:t>形式的</w:t>
      </w:r>
      <w:r>
        <w:t xml:space="preserve"> mean-field </w:t>
      </w:r>
      <w:r>
        <w:t>变分推断（</w:t>
      </w:r>
      <w:r>
        <w:t>MFVI</w:t>
      </w:r>
      <w:r>
        <w:t>）</w:t>
      </w:r>
      <w:r>
        <w:t>[10]</w:t>
      </w:r>
      <w:r>
        <w:t>。</w:t>
      </w:r>
      <w:r>
        <w:t xml:space="preserve">MFVI </w:t>
      </w:r>
      <w:r>
        <w:t>以一个因式化分布</w:t>
      </w:r>
      <w:r>
        <w:t xml:space="preserve"> q(w) </w:t>
      </w:r>
      <w:r>
        <w:t>逼近真实后验，通过最小化</w:t>
      </w:r>
      <w:r>
        <w:t xml:space="preserve"> KL[q ‖ p(w | D)] </w:t>
      </w:r>
      <w:r>
        <w:t>优化其参数。每个权重配备独立的高斯变分后验</w:t>
      </w:r>
      <w:r>
        <w:t xml:space="preserve"> q(w) = Π_ℓ N(μ_ℓ, softplus(ρ_ℓ)²)</w:t>
      </w:r>
      <w:r>
        <w:t>。变分参数</w:t>
      </w:r>
      <w:r>
        <w:t xml:space="preserve"> {μ_ℓ, ρ_ℓ} </w:t>
      </w:r>
      <w:r>
        <w:t>通过最大化</w:t>
      </w:r>
      <w:r>
        <w:t xml:space="preserve"> ELBO </w:t>
      </w:r>
      <w:r>
        <w:t>并使用重参数化梯度优化。训练目标为负证据下界，</w:t>
      </w:r>
    </w:p>
    <w:p w:rsidR="00026D0F" w:rsidRDefault="00000000">
      <w:pPr>
        <w:spacing w:before="80" w:after="80"/>
        <w:jc w:val="center"/>
      </w:pPr>
      <m:oMathPara>
        <m:oMath>
          <m:r>
            <w:rPr>
              <w:rFonts w:ascii="Cambria Math" w:hAnsi="Cambria Math"/>
            </w:rPr>
            <m:t>L(φ) = - E_{q_φ(w)}[log p(D | w)] + KL[q_φ(w) ‖ p(w)]</m:t>
          </m:r>
          <m:r>
            <w:rPr>
              <w:rFonts w:ascii="Cambria Math" w:hAnsi="Cambria Math"/>
            </w:rPr>
            <m:t>，</m:t>
          </m:r>
        </m:oMath>
      </m:oMathPara>
    </w:p>
    <w:p w:rsidR="00026D0F" w:rsidRDefault="00000000">
      <w:r>
        <w:t>其中</w:t>
      </w:r>
      <w:r>
        <w:t xml:space="preserve"> φ </w:t>
      </w:r>
      <w:r>
        <w:t>为变分参数。第一项为训练集上的异方差高斯负对数似然。第二项为变分后验与先验之间的</w:t>
      </w:r>
      <w:r>
        <w:t xml:space="preserve"> KL </w:t>
      </w:r>
      <w:r>
        <w:t>散度，起正则化作用，防止对训练集过拟合。训练采用</w:t>
      </w:r>
      <w:r>
        <w:t xml:space="preserve"> KL </w:t>
      </w:r>
      <w:r>
        <w:t>退火方案：</w:t>
      </w:r>
      <w:r>
        <w:t xml:space="preserve">KL </w:t>
      </w:r>
      <w:r>
        <w:t>权重在前若干</w:t>
      </w:r>
      <w:r>
        <w:t xml:space="preserve"> epoch </w:t>
      </w:r>
      <w:r>
        <w:t>内从零线性升至一，使网络先学到良好的数据拟合，再让先验惩罚全力介入。若缺少这一预热，</w:t>
      </w:r>
      <w:r>
        <w:t xml:space="preserve">KL </w:t>
      </w:r>
      <w:r>
        <w:t>项可能在数据拟合尚未收敛时就将变分后验压向先验，导致欠拟合。</w:t>
      </w:r>
    </w:p>
    <w:p w:rsidR="00026D0F" w:rsidRDefault="00000000">
      <w:r>
        <w:t>At inference, M = 50 weight samples w^(m) ~ q(w) are drawn. Sobol analysis uses M = 30 and the MCMC likelihood uses M = 20, both for computational efficiency, since each of those analyses already carries its own Monte Carlo averaging. The posterior predictive mean and variance for output j at input θ are</w:t>
      </w:r>
    </w:p>
    <w:p w:rsidR="00026D0F" w:rsidRDefault="00000000">
      <w:pPr>
        <w:spacing w:before="80" w:after="80"/>
        <w:jc w:val="center"/>
      </w:pPr>
      <m:oMathPara>
        <m:oMath>
          <m:r>
            <w:rPr>
              <w:rFonts w:ascii="Cambria Math" w:hAnsi="Cambria Math"/>
            </w:rPr>
            <w:lastRenderedPageBreak/>
            <m:t>μ̂_j(θ) = (1/M) Σ_m μ_{j, w^(m)}(θ),</m:t>
          </m:r>
        </m:oMath>
      </m:oMathPara>
    </w:p>
    <w:p w:rsidR="00026D0F" w:rsidRDefault="00000000">
      <w:pPr>
        <w:spacing w:before="80" w:after="80"/>
        <w:jc w:val="center"/>
      </w:pPr>
      <m:oMathPara>
        <m:oMath>
          <m:r>
            <w:rPr>
              <w:rFonts w:ascii="Cambria Math" w:hAnsi="Cambria Math"/>
            </w:rPr>
            <m:t>Var̂_j(θ) = (1/M) Σ_m σ²_{obs,j,w^(m)}(θ)               [observation-noise]</m:t>
          </m:r>
        </m:oMath>
      </m:oMathPara>
    </w:p>
    <w:p w:rsidR="00026D0F" w:rsidRDefault="00000000">
      <w:pPr>
        <w:spacing w:before="80" w:after="80"/>
        <w:jc w:val="center"/>
      </w:pPr>
      <m:oMathPara>
        <m:oMath>
          <m:r>
            <w:rPr>
              <w:rFonts w:ascii="Cambria Math" w:hAnsi="Cambria Math"/>
            </w:rPr>
            <m:t>+ (1/M) Σ_m (μ_{j,w^(m)}(θ) - μ̂_j(θ))²        [weight-uncertainty].</m:t>
          </m:r>
        </m:oMath>
      </m:oMathPara>
    </w:p>
    <w:p w:rsidR="00026D0F" w:rsidRDefault="00000000">
      <w:r>
        <w:t>The 90% predictive interval is constructed from the empirical 5th and 95th percentiles of the M predictive draws per output. The two variance terms provide an aleatoric/epistemic decomposition reported in the Appendix.</w:t>
      </w:r>
    </w:p>
    <w:p w:rsidR="00026D0F" w:rsidRDefault="00000000">
      <w:r>
        <w:t>推断时抽取</w:t>
      </w:r>
      <w:r>
        <w:t xml:space="preserve"> M = 50 </w:t>
      </w:r>
      <w:r>
        <w:t>个权重样本</w:t>
      </w:r>
      <w:r>
        <w:t xml:space="preserve"> w^(m) ~ q(w)</w:t>
      </w:r>
      <w:r>
        <w:t>。</w:t>
      </w:r>
      <w:r>
        <w:t xml:space="preserve">Sobol </w:t>
      </w:r>
      <w:r>
        <w:t>分析使用</w:t>
      </w:r>
      <w:r>
        <w:t xml:space="preserve"> M = 30</w:t>
      </w:r>
      <w:r>
        <w:t>，</w:t>
      </w:r>
      <w:r>
        <w:t xml:space="preserve">MCMC </w:t>
      </w:r>
      <w:r>
        <w:t>似然使用</w:t>
      </w:r>
      <w:r>
        <w:t xml:space="preserve"> M = 20</w:t>
      </w:r>
      <w:r>
        <w:t>，皆为兼顾效率，且两者本身已含大量蒙特卡洛平均。输入</w:t>
      </w:r>
      <w:r>
        <w:t xml:space="preserve"> θ </w:t>
      </w:r>
      <w:r>
        <w:t>处输出</w:t>
      </w:r>
      <w:r>
        <w:t xml:space="preserve"> j </w:t>
      </w:r>
      <w:r>
        <w:t>的后验预测均值与方差为</w:t>
      </w:r>
    </w:p>
    <w:p w:rsidR="00026D0F" w:rsidRDefault="00000000">
      <w:pPr>
        <w:spacing w:before="80" w:after="80"/>
        <w:jc w:val="center"/>
      </w:pPr>
      <m:oMathPara>
        <m:oMath>
          <m:r>
            <w:rPr>
              <w:rFonts w:ascii="Cambria Math" w:hAnsi="Cambria Math"/>
            </w:rPr>
            <m:t>μ̂_j(θ) = (1/M) Σ_m μ_{j, w^(m)}(θ)</m:t>
          </m:r>
          <m:r>
            <w:rPr>
              <w:rFonts w:ascii="Cambria Math" w:hAnsi="Cambria Math"/>
            </w:rPr>
            <m:t>，</m:t>
          </m:r>
        </m:oMath>
      </m:oMathPara>
    </w:p>
    <w:p w:rsidR="00026D0F" w:rsidRDefault="00000000">
      <w:pPr>
        <w:spacing w:before="80" w:after="80"/>
        <w:jc w:val="center"/>
      </w:pPr>
      <m:oMathPara>
        <m:oMath>
          <m:r>
            <w:rPr>
              <w:rFonts w:ascii="Cambria Math" w:hAnsi="Cambria Math"/>
            </w:rPr>
            <m:t>Var̂_j(θ) = (1/M) Σ_m σ²_{obs,j,w^(m)}(θ)               [</m:t>
          </m:r>
          <m:r>
            <w:rPr>
              <w:rFonts w:ascii="Cambria Math" w:hAnsi="Cambria Math"/>
            </w:rPr>
            <m:t>观测噪声</m:t>
          </m:r>
          <m:r>
            <w:rPr>
              <w:rFonts w:ascii="Cambria Math" w:hAnsi="Cambria Math"/>
            </w:rPr>
            <m:t>]</m:t>
          </m:r>
        </m:oMath>
      </m:oMathPara>
    </w:p>
    <w:p w:rsidR="00026D0F" w:rsidRDefault="00000000">
      <w:pPr>
        <w:spacing w:before="80" w:after="80"/>
        <w:jc w:val="center"/>
      </w:pPr>
      <m:oMathPara>
        <m:oMath>
          <m:r>
            <w:rPr>
              <w:rFonts w:ascii="Cambria Math" w:hAnsi="Cambria Math"/>
            </w:rPr>
            <m:t>+ (1/M) Σ_m (μ_{j,w^(m)}(θ) - μ̂_j(θ))²        [</m:t>
          </m:r>
          <m:r>
            <w:rPr>
              <w:rFonts w:ascii="Cambria Math" w:hAnsi="Cambria Math"/>
            </w:rPr>
            <m:t>权重不确定性</m:t>
          </m:r>
          <m:r>
            <w:rPr>
              <w:rFonts w:ascii="Cambria Math" w:hAnsi="Cambria Math"/>
            </w:rPr>
            <m:t>]</m:t>
          </m:r>
          <m:r>
            <w:rPr>
              <w:rFonts w:ascii="Cambria Math" w:hAnsi="Cambria Math"/>
            </w:rPr>
            <m:t>。</m:t>
          </m:r>
        </m:oMath>
      </m:oMathPara>
    </w:p>
    <w:p w:rsidR="00026D0F" w:rsidRDefault="00000000">
      <w:r>
        <w:t xml:space="preserve">90% </w:t>
      </w:r>
      <w:r>
        <w:t>预测区间由每个输出的</w:t>
      </w:r>
      <w:r>
        <w:t xml:space="preserve"> M </w:t>
      </w:r>
      <w:r>
        <w:t>个预测样本的第</w:t>
      </w:r>
      <w:r>
        <w:t xml:space="preserve"> 5–95 </w:t>
      </w:r>
      <w:r>
        <w:t>百分位得到。方差中两项给出偶然</w:t>
      </w:r>
      <w:r>
        <w:t>/</w:t>
      </w:r>
      <w:r>
        <w:t>认识论分解，在附录中作为诊断报告。</w:t>
      </w:r>
    </w:p>
    <w:p w:rsidR="00026D0F" w:rsidRDefault="00000000">
      <w:r>
        <w:t>Hyperparameters were independently optimised via Optuna using a TPE sampler with median pruning. The search space included depth (3–8 layers), width (64–256), learning rate (10⁻⁴–3 × 10⁻³), batch size {32, 64, 128}, gradient clipping (0.5–5.0), the prior scale σ</w:t>
      </w:r>
      <w:r>
        <w:rPr>
          <w:vertAlign w:val="subscript"/>
        </w:rPr>
        <w:t>p</w:t>
      </w:r>
      <w:r>
        <w:t>, the initial variational posterior scale and the KL annealing schedule. Training ran for up to 300 epochs with early stopping on validation ELBO; the early-stopping patience was 25–30 epochs and the minimum improvement was 10⁻⁶. The final checkpoint was selected as the trial with the lowest validation posterior-predictive NLL. All models used the Adam optimiser and Xavier uniform initialisation of the variational mean parameters.</w:t>
      </w:r>
    </w:p>
    <w:p w:rsidR="00026D0F" w:rsidRDefault="00000000">
      <w:r>
        <w:t>超参数通过</w:t>
      </w:r>
      <w:r>
        <w:t xml:space="preserve"> Optuna </w:t>
      </w:r>
      <w:r>
        <w:t>使用</w:t>
      </w:r>
      <w:r>
        <w:t xml:space="preserve"> TPE </w:t>
      </w:r>
      <w:r>
        <w:t>采样器与中位数剪枝独立优化。搜索空间包括深度（</w:t>
      </w:r>
      <w:r>
        <w:t xml:space="preserve">3–8 </w:t>
      </w:r>
      <w:r>
        <w:t>层）、宽度（</w:t>
      </w:r>
      <w:r>
        <w:t>64–256</w:t>
      </w:r>
      <w:r>
        <w:t>）、学习率（</w:t>
      </w:r>
      <w:r>
        <w:t>10⁻⁴–3 × 10⁻³</w:t>
      </w:r>
      <w:r>
        <w:t>）、批大小</w:t>
      </w:r>
      <w:r>
        <w:t xml:space="preserve"> {32, 64, 128}</w:t>
      </w:r>
      <w:r>
        <w:t>、梯度裁剪（</w:t>
      </w:r>
      <w:r>
        <w:t>0.5–5.0</w:t>
      </w:r>
      <w:r>
        <w:t>）、先验尺度</w:t>
      </w:r>
      <w:r>
        <w:t xml:space="preserve"> σ</w:t>
      </w:r>
      <w:r>
        <w:rPr>
          <w:vertAlign w:val="subscript"/>
        </w:rPr>
        <w:t>p</w:t>
      </w:r>
      <w:r>
        <w:t>、变分后验初始尺度以及</w:t>
      </w:r>
      <w:r>
        <w:t xml:space="preserve"> KL </w:t>
      </w:r>
      <w:r>
        <w:t>退火方案。训练至多</w:t>
      </w:r>
      <w:r>
        <w:t xml:space="preserve"> 300 </w:t>
      </w:r>
      <w:r>
        <w:t>个</w:t>
      </w:r>
      <w:r>
        <w:t xml:space="preserve"> epoch</w:t>
      </w:r>
      <w:r>
        <w:t>，基于验证集</w:t>
      </w:r>
      <w:r>
        <w:t xml:space="preserve"> ELBO </w:t>
      </w:r>
      <w:r>
        <w:t>早停；早停耐心为</w:t>
      </w:r>
      <w:r>
        <w:t xml:space="preserve"> 25–30 epoch</w:t>
      </w:r>
      <w:r>
        <w:t>，最小改进</w:t>
      </w:r>
      <w:r>
        <w:t xml:space="preserve"> 10⁻⁶</w:t>
      </w:r>
      <w:r>
        <w:t>。最终检查点选取验证集后</w:t>
      </w:r>
      <w:r>
        <w:lastRenderedPageBreak/>
        <w:t>验预测</w:t>
      </w:r>
      <w:r>
        <w:t xml:space="preserve"> NLL </w:t>
      </w:r>
      <w:r>
        <w:t>最低的试验。所有模型使用</w:t>
      </w:r>
      <w:r>
        <w:t xml:space="preserve"> Adam </w:t>
      </w:r>
      <w:r>
        <w:t>优化器，并以</w:t>
      </w:r>
      <w:r>
        <w:t xml:space="preserve"> Xavier </w:t>
      </w:r>
      <w:r>
        <w:t>均匀分布初始化变分均值参数。</w:t>
      </w:r>
    </w:p>
    <w:p w:rsidR="00026D0F" w:rsidRDefault="00000000">
      <w:pPr>
        <w:pStyle w:val="21"/>
      </w:pPr>
      <w:r>
        <w:t xml:space="preserve">4.4 </w:t>
      </w:r>
      <w:r>
        <w:t>前向不确定性传播方法</w:t>
      </w:r>
      <w:r>
        <w:t xml:space="preserve"> / Forward UQ Methodology</w:t>
      </w:r>
    </w:p>
    <w:p w:rsidR="00026D0F" w:rsidRDefault="00000000">
      <w:r>
        <w:t>Forward uncertainty propagation quantifies how prior parameter uncertainty maps to output uncertainty through the BNN. We draw 20,000 samples from the joint prior of Section 4.1 by Latin hypercube sampling (LHS). LHS is preferred over simple random sampling because it guarantees even marginal coverage of each input dimension, reducing the sample size needed to capture tail behaviour in an 8-dimensional space. The sample size N = 20,000 was chosen to ensure stable estimation of the output percentiles reported in Section 2.2; at this count, the standard error of the empirical 5th and 95th percentiles is negligible relative to the inter-percentile range. For each sample θ_i, the BNN returns the posterior predictive mean μ̂(θ_i) for all 15 outputs, marginalising over M weight samples. The empirical distribution of {μ̂(θ_i)}_{i=1}^{20000} constitutes the prior-predictive uncertainty propagation.</w:t>
      </w:r>
    </w:p>
    <w:p w:rsidR="00026D0F" w:rsidRDefault="00000000">
      <w:r>
        <w:t>前向不确定性传播量化先验参数不确定性如何通过</w:t>
      </w:r>
      <w:r>
        <w:t xml:space="preserve"> BNN </w:t>
      </w:r>
      <w:r>
        <w:t>映射到输出不确定性。通过拉丁超立方采样（</w:t>
      </w:r>
      <w:r>
        <w:t>LHS</w:t>
      </w:r>
      <w:r>
        <w:t>）从</w:t>
      </w:r>
      <w:r>
        <w:t xml:space="preserve"> §4.1 </w:t>
      </w:r>
      <w:r>
        <w:t>的联合先验中抽取</w:t>
      </w:r>
      <w:r>
        <w:t xml:space="preserve"> 20,000 </w:t>
      </w:r>
      <w:r>
        <w:t>个样本。采用</w:t>
      </w:r>
      <w:r>
        <w:t xml:space="preserve"> LHS </w:t>
      </w:r>
      <w:r>
        <w:t>而非简单随机抽样，是因为</w:t>
      </w:r>
      <w:r>
        <w:t xml:space="preserve"> LHS </w:t>
      </w:r>
      <w:r>
        <w:t>保证每个输入维度上的均匀边际覆盖，在</w:t>
      </w:r>
      <w:r>
        <w:t xml:space="preserve"> 8 </w:t>
      </w:r>
      <w:r>
        <w:t>维空间中以较少样本即可捕获尾部行为。选取</w:t>
      </w:r>
      <w:r>
        <w:t xml:space="preserve"> N = 20,000 </w:t>
      </w:r>
      <w:r>
        <w:t>以确保</w:t>
      </w:r>
      <w:r>
        <w:t xml:space="preserve"> §2.2 </w:t>
      </w:r>
      <w:r>
        <w:t>中报告的输出百分位估计稳定；在此样本量下，经验第</w:t>
      </w:r>
      <w:r>
        <w:t xml:space="preserve"> 5 </w:t>
      </w:r>
      <w:r>
        <w:t>与第</w:t>
      </w:r>
      <w:r>
        <w:t xml:space="preserve"> 95 </w:t>
      </w:r>
      <w:r>
        <w:t>百分位的标准误差相对分位距可忽略。对每个</w:t>
      </w:r>
      <w:r>
        <w:t xml:space="preserve"> θ_i</w:t>
      </w:r>
      <w:r>
        <w:t>，</w:t>
      </w:r>
      <w:r>
        <w:t xml:space="preserve">BNN </w:t>
      </w:r>
      <w:r>
        <w:t>返回</w:t>
      </w:r>
      <w:r>
        <w:t xml:space="preserve"> 15 </w:t>
      </w:r>
      <w:r>
        <w:t>个输出的后验预测均值</w:t>
      </w:r>
      <w:r>
        <w:t xml:space="preserve"> μ̂(θ_i)</w:t>
      </w:r>
      <w:r>
        <w:t>，对</w:t>
      </w:r>
      <w:r>
        <w:t xml:space="preserve"> M </w:t>
      </w:r>
      <w:r>
        <w:t>个权重样本边缘化。</w:t>
      </w:r>
      <w:r>
        <w:t xml:space="preserve">{μ̂(θ_i)} </w:t>
      </w:r>
      <w:r>
        <w:t>的经验分布即构成先验预测不确定性传播。</w:t>
      </w:r>
    </w:p>
    <w:p w:rsidR="00026D0F" w:rsidRDefault="00000000">
      <w:r>
        <w:t xml:space="preserve">This protocol takes y = μ̂(θ) = E_w[μ_w(θ)] as the response. It deliberately isolates parametric uncertainty from the BNN's combined epistemic and aleatoric predictive spread. The BNN's posterior predictive variance already models both the observation-noise and the weight-uncertainty contributions. Including that variance in the forward propagation, in the form y = μ̂(θ) + σ̂(θ) · ε with ε ~ N(0,1), would mix the parametric prior with the surrogate's own uncertainty. The main-text results therefore report the μ̂-only protocol, so that all variance in the output distribution is attributable to input-parameter variation. The predictive variant is reported in the </w:t>
      </w:r>
      <w:r>
        <w:lastRenderedPageBreak/>
        <w:t>Appendix as a consistency check. It yields broader distributions but preserves the same qualitative conclusions.</w:t>
      </w:r>
    </w:p>
    <w:p w:rsidR="00026D0F" w:rsidRDefault="00000000">
      <w:r>
        <w:t>该协议以</w:t>
      </w:r>
      <w:r>
        <w:t xml:space="preserve"> y = μ̂(θ) = E_w[μ_w(θ)] </w:t>
      </w:r>
      <w:r>
        <w:t>为响应，有意将参数不确定性与</w:t>
      </w:r>
      <w:r>
        <w:t xml:space="preserve"> BNN </w:t>
      </w:r>
      <w:r>
        <w:t>自身的认识论加偶然预测展宽分离。</w:t>
      </w:r>
      <w:r>
        <w:t xml:space="preserve">BNN </w:t>
      </w:r>
      <w:r>
        <w:t>后验预测方差已同时建模观测噪声与权重不确定性。若在前向传播中包含该方差，即</w:t>
      </w:r>
      <w:r>
        <w:t xml:space="preserve"> y = μ̂(θ) + σ̂(θ) · ε</w:t>
      </w:r>
      <w:r>
        <w:t>，</w:t>
      </w:r>
      <w:r>
        <w:t xml:space="preserve"> ε ~ N(0,1)</w:t>
      </w:r>
      <w:r>
        <w:t>，则会把参数先验与代理自身不确定性混合在一起。因此正文采用</w:t>
      </w:r>
      <w:r>
        <w:t xml:space="preserve"> μ̂-only </w:t>
      </w:r>
      <w:r>
        <w:t>协议，使输出分布中的所有方差可归因于输入参数变异。带预测方差的变体在附录中作为一致性核验报告。该变体产生更宽的分布，但保留相同的定性结论。</w:t>
      </w:r>
    </w:p>
    <w:p w:rsidR="00026D0F" w:rsidRDefault="00000000">
      <w:r>
        <w:t>Summary statistics of {μ̂(θ_i)} are reported in Section 2.2 for the primary outputs, including the mean, the standard deviation and selected percentiles. The role of forward UQ in this work is distribution-level characterisation: how multi-physics coupling reshapes the output distribution relative to the decoupled prediction. Threshold-based exceedance statistics are not part of the main-text analysis.</w:t>
      </w:r>
    </w:p>
    <w:p w:rsidR="00026D0F" w:rsidRDefault="00000000">
      <w:r>
        <w:t xml:space="preserve">§2.2 </w:t>
      </w:r>
      <w:r>
        <w:t>报告</w:t>
      </w:r>
      <w:r>
        <w:t xml:space="preserve"> {μ̂(θ_i)} </w:t>
      </w:r>
      <w:r>
        <w:t>的汇总统计量，包括均值、标准差与若干分位数。本文前向</w:t>
      </w:r>
      <w:r>
        <w:t xml:space="preserve"> UQ </w:t>
      </w:r>
      <w:r>
        <w:t>的角色是分布级表征，即多物理耦合相对解耦预测如何重塑输出分布。基于阈值的超阈统计不在正文展开。</w:t>
      </w:r>
    </w:p>
    <w:p w:rsidR="00026D0F" w:rsidRDefault="00000000">
      <w:pPr>
        <w:pStyle w:val="21"/>
      </w:pPr>
      <w:r>
        <w:t xml:space="preserve">4.5 Sobol </w:t>
      </w:r>
      <w:r>
        <w:t>敏感性分析方法</w:t>
      </w:r>
      <w:r>
        <w:t xml:space="preserve"> / Sobol Sensitivity Methodology</w:t>
      </w:r>
    </w:p>
    <w:p w:rsidR="00026D0F" w:rsidRDefault="00000000">
      <w:r>
        <w:t>Variance-based global sensitivity analysis is built on the Sobol decomposition of a square-integrable output Y = μ̂(θ) of independent inputs θ = (θ_1, …, θ_d):</w:t>
      </w:r>
    </w:p>
    <w:p w:rsidR="00026D0F" w:rsidRDefault="00000000">
      <w:pPr>
        <w:spacing w:before="80" w:after="80"/>
        <w:jc w:val="center"/>
      </w:pPr>
      <m:oMathPara>
        <m:oMath>
          <m:r>
            <w:rPr>
              <w:rFonts w:ascii="Cambria Math" w:hAnsi="Cambria Math"/>
            </w:rPr>
            <m:t>Var(Y) = Σ_i V_i + Σ_{i&lt;j} V_{ij} + … + V_{1…d},</m:t>
          </m:r>
        </m:oMath>
      </m:oMathPara>
    </w:p>
    <w:p w:rsidR="00026D0F" w:rsidRDefault="00000000">
      <w:r>
        <w:t xml:space="preserve">where </w:t>
      </w:r>
      <w:r>
        <w:rPr>
          <w:i/>
        </w:rPr>
        <w:t>V</w:t>
      </w:r>
      <w:r>
        <w:rPr>
          <w:vertAlign w:val="subscript"/>
        </w:rPr>
        <w:t>i</w:t>
      </w:r>
      <w:r>
        <w:t xml:space="preserve"> = Var_{θ_i}(E[Y | θ_i]) is the main-effect variance of input i and the higher-order terms collect pairwise and multi-way interactions. The first-order and total-order Sobol indices are</w:t>
      </w:r>
    </w:p>
    <w:p w:rsidR="00026D0F" w:rsidRDefault="00000000">
      <w:pPr>
        <w:spacing w:before="80" w:after="80"/>
        <w:jc w:val="center"/>
      </w:pPr>
      <m:oMathPara>
        <m:oMath>
          <m:r>
            <w:rPr>
              <w:rFonts w:ascii="Cambria Math" w:hAnsi="Cambria Math"/>
            </w:rPr>
            <m:t>S_i = V_i / Var(Y),   S_{T,i} = 1 - Var_{θ_{~i}}(E[Y | θ_{~i}]) / Var(Y).</m:t>
          </m:r>
        </m:oMath>
      </m:oMathPara>
    </w:p>
    <w:p w:rsidR="00026D0F" w:rsidRDefault="00000000">
      <w:r>
        <w:rPr>
          <w:i/>
        </w:rPr>
        <w:t>S</w:t>
      </w:r>
      <w:r>
        <w:rPr>
          <w:vertAlign w:val="subscript"/>
        </w:rPr>
        <w:t>i</w:t>
      </w:r>
      <w:r>
        <w:t xml:space="preserve"> measures the fraction of output variance attributable to input i alone; </w:t>
      </w:r>
      <w:r>
        <w:rPr>
          <w:i/>
        </w:rPr>
        <w:t>S</w:t>
      </w:r>
      <w:r>
        <w:rPr>
          <w:vertAlign w:val="subscript"/>
        </w:rPr>
        <w:t>T,i</w:t>
      </w:r>
      <w:r>
        <w:t xml:space="preserve"> collects all effects involving input i, including interactions. A large gap between </w:t>
      </w:r>
      <w:r>
        <w:rPr>
          <w:i/>
        </w:rPr>
        <w:t>S</w:t>
      </w:r>
      <w:r>
        <w:rPr>
          <w:vertAlign w:val="subscript"/>
        </w:rPr>
        <w:t>T,i</w:t>
      </w:r>
      <w:r>
        <w:t xml:space="preserve"> and </w:t>
      </w:r>
      <w:r>
        <w:rPr>
          <w:i/>
        </w:rPr>
        <w:t>S</w:t>
      </w:r>
      <w:r>
        <w:rPr>
          <w:vertAlign w:val="subscript"/>
        </w:rPr>
        <w:t>i</w:t>
      </w:r>
      <w:r>
        <w:t xml:space="preserve"> indicates substantial interaction effects; when </w:t>
      </w:r>
      <w:r>
        <w:rPr>
          <w:i/>
        </w:rPr>
        <w:t>S</w:t>
      </w:r>
      <w:r>
        <w:rPr>
          <w:vertAlign w:val="subscript"/>
        </w:rPr>
        <w:t>T,i</w:t>
      </w:r>
      <w:r>
        <w:t xml:space="preserve"> ≈ </w:t>
      </w:r>
      <w:r>
        <w:rPr>
          <w:i/>
        </w:rPr>
        <w:t>S</w:t>
      </w:r>
      <w:r>
        <w:rPr>
          <w:vertAlign w:val="subscript"/>
        </w:rPr>
        <w:t>i</w:t>
      </w:r>
      <w:r>
        <w:t>, input i acts primarily through an independent channel.</w:t>
      </w:r>
    </w:p>
    <w:p w:rsidR="00026D0F" w:rsidRDefault="00000000">
      <w:r>
        <w:lastRenderedPageBreak/>
        <w:t>基于方差的全局敏感性分析建立在</w:t>
      </w:r>
      <w:r>
        <w:t xml:space="preserve"> Sobol </w:t>
      </w:r>
      <w:r>
        <w:t>分解之上。对于独立输入</w:t>
      </w:r>
      <w:r>
        <w:t xml:space="preserve"> θ = (θ_1, …, θ_d) </w:t>
      </w:r>
      <w:r>
        <w:t>的平方可积输出</w:t>
      </w:r>
      <w:r>
        <w:t xml:space="preserve"> Y = μ̂(θ)</w:t>
      </w:r>
      <w:r>
        <w:t>，有：</w:t>
      </w:r>
    </w:p>
    <w:p w:rsidR="00026D0F" w:rsidRDefault="00000000">
      <w:pPr>
        <w:spacing w:before="80" w:after="80"/>
        <w:jc w:val="center"/>
      </w:pPr>
      <m:oMathPara>
        <m:oMath>
          <m:r>
            <w:rPr>
              <w:rFonts w:ascii="Cambria Math" w:hAnsi="Cambria Math"/>
            </w:rPr>
            <m:t>Var(Y) = Σ_i V_i + Σ_{i&lt;j} V_{ij} + … + V_{1…d}</m:t>
          </m:r>
          <m:r>
            <w:rPr>
              <w:rFonts w:ascii="Cambria Math" w:hAnsi="Cambria Math"/>
            </w:rPr>
            <m:t>，</m:t>
          </m:r>
        </m:oMath>
      </m:oMathPara>
    </w:p>
    <w:p w:rsidR="00026D0F" w:rsidRDefault="00000000">
      <w:r>
        <w:t>其中</w:t>
      </w:r>
      <w:r>
        <w:t xml:space="preserve"> </w:t>
      </w:r>
      <w:r>
        <w:rPr>
          <w:i/>
        </w:rPr>
        <w:t>V</w:t>
      </w:r>
      <w:r>
        <w:rPr>
          <w:vertAlign w:val="subscript"/>
        </w:rPr>
        <w:t>i</w:t>
      </w:r>
      <w:r>
        <w:t xml:space="preserve"> = Var_{θ_i}(E[Y | θ_i]) </w:t>
      </w:r>
      <w:r>
        <w:t>为输入</w:t>
      </w:r>
      <w:r>
        <w:t xml:space="preserve"> i </w:t>
      </w:r>
      <w:r>
        <w:t>的主效应方差，高阶项收集两两和多项交互。一阶与总阶</w:t>
      </w:r>
      <w:r>
        <w:t xml:space="preserve"> Sobol </w:t>
      </w:r>
      <w:r>
        <w:t>指数分别为：</w:t>
      </w:r>
    </w:p>
    <w:p w:rsidR="00026D0F" w:rsidRDefault="00000000">
      <w:pPr>
        <w:spacing w:before="80" w:after="80"/>
        <w:jc w:val="center"/>
      </w:pPr>
      <m:oMathPara>
        <m:oMath>
          <m:r>
            <w:rPr>
              <w:rFonts w:ascii="Cambria Math" w:hAnsi="Cambria Math"/>
            </w:rPr>
            <m:t>S_i = V_i / Var(Y)</m:t>
          </m:r>
          <m:r>
            <w:rPr>
              <w:rFonts w:ascii="Cambria Math" w:hAnsi="Cambria Math"/>
            </w:rPr>
            <m:t>，</m:t>
          </m:r>
          <m:r>
            <w:rPr>
              <w:rFonts w:ascii="Cambria Math" w:hAnsi="Cambria Math"/>
            </w:rPr>
            <m:t xml:space="preserve"> S_{T,i} = 1 - Var_{θ_{~i}}(E[Y | θ_{~i}]) / Var(Y)</m:t>
          </m:r>
          <m:r>
            <w:rPr>
              <w:rFonts w:ascii="Cambria Math" w:hAnsi="Cambria Math"/>
            </w:rPr>
            <m:t>。</m:t>
          </m:r>
        </m:oMath>
      </m:oMathPara>
    </w:p>
    <w:p w:rsidR="00026D0F" w:rsidRDefault="00000000">
      <w:r>
        <w:rPr>
          <w:i/>
        </w:rPr>
        <w:t>S</w:t>
      </w:r>
      <w:r>
        <w:rPr>
          <w:vertAlign w:val="subscript"/>
        </w:rPr>
        <w:t>i</w:t>
      </w:r>
      <w:r>
        <w:t xml:space="preserve"> </w:t>
      </w:r>
      <w:r>
        <w:t>度量仅由输入</w:t>
      </w:r>
      <w:r>
        <w:t xml:space="preserve"> i </w:t>
      </w:r>
      <w:r>
        <w:t>单独引起的输出方差比例；</w:t>
      </w:r>
      <w:r>
        <w:rPr>
          <w:i/>
        </w:rPr>
        <w:t>S</w:t>
      </w:r>
      <w:r>
        <w:rPr>
          <w:vertAlign w:val="subscript"/>
        </w:rPr>
        <w:t>T,i</w:t>
      </w:r>
      <w:r>
        <w:t xml:space="preserve"> </w:t>
      </w:r>
      <w:r>
        <w:t>汇集所有涉及输入</w:t>
      </w:r>
      <w:r>
        <w:t xml:space="preserve"> i </w:t>
      </w:r>
      <w:r>
        <w:t>的效应（含交互）。</w:t>
      </w:r>
      <w:r>
        <w:rPr>
          <w:i/>
        </w:rPr>
        <w:t>S</w:t>
      </w:r>
      <w:r>
        <w:rPr>
          <w:vertAlign w:val="subscript"/>
        </w:rPr>
        <w:t>T,i</w:t>
      </w:r>
      <w:r>
        <w:t xml:space="preserve"> </w:t>
      </w:r>
      <w:r>
        <w:t>与</w:t>
      </w:r>
      <w:r>
        <w:t xml:space="preserve"> </w:t>
      </w:r>
      <w:r>
        <w:rPr>
          <w:i/>
        </w:rPr>
        <w:t>S</w:t>
      </w:r>
      <w:r>
        <w:rPr>
          <w:vertAlign w:val="subscript"/>
        </w:rPr>
        <w:t>i</w:t>
      </w:r>
      <w:r>
        <w:t xml:space="preserve"> </w:t>
      </w:r>
      <w:r>
        <w:t>之间的较大差距表明存在显著的交互效应；当</w:t>
      </w:r>
      <w:r>
        <w:t xml:space="preserve"> </w:t>
      </w:r>
      <w:r>
        <w:rPr>
          <w:i/>
        </w:rPr>
        <w:t>S</w:t>
      </w:r>
      <w:r>
        <w:rPr>
          <w:vertAlign w:val="subscript"/>
        </w:rPr>
        <w:t>T,i</w:t>
      </w:r>
      <w:r>
        <w:t xml:space="preserve"> ≈ </w:t>
      </w:r>
      <w:r>
        <w:rPr>
          <w:i/>
        </w:rPr>
        <w:t>S</w:t>
      </w:r>
      <w:r>
        <w:rPr>
          <w:vertAlign w:val="subscript"/>
        </w:rPr>
        <w:t>i</w:t>
      </w:r>
      <w:r>
        <w:t xml:space="preserve"> </w:t>
      </w:r>
      <w:r>
        <w:t>时，输入</w:t>
      </w:r>
      <w:r>
        <w:t xml:space="preserve"> i </w:t>
      </w:r>
      <w:r>
        <w:t>主要通过独立通道起作用。</w:t>
      </w:r>
    </w:p>
    <w:p w:rsidR="00026D0F" w:rsidRDefault="00000000">
      <w:r>
        <w:t xml:space="preserve">Indices are estimated with the Saltelli cross-matrix sampling scheme and the Jansen estimator. Two independent </w:t>
      </w:r>
      <w:r>
        <w:rPr>
          <w:i/>
        </w:rPr>
        <w:t>N</w:t>
      </w:r>
      <w:r>
        <w:rPr>
          <w:vertAlign w:val="subscript"/>
        </w:rPr>
        <w:t>S</w:t>
      </w:r>
      <w:r>
        <w:t xml:space="preserve"> × 8 matrices A and B are drawn from the prior (</w:t>
      </w:r>
      <w:r>
        <w:rPr>
          <w:i/>
        </w:rPr>
        <w:t>N</w:t>
      </w:r>
      <w:r>
        <w:rPr>
          <w:vertAlign w:val="subscript"/>
        </w:rPr>
        <w:t>S</w:t>
      </w:r>
      <w:r>
        <w:t xml:space="preserve"> = 4096). For each input dimension i, a cross-matrix A_B^(i) is formed by replacing the i-th column of A with that of B, giving </w:t>
      </w:r>
      <w:r>
        <w:rPr>
          <w:i/>
        </w:rPr>
        <w:t>N</w:t>
      </w:r>
      <w:r>
        <w:rPr>
          <w:vertAlign w:val="subscript"/>
        </w:rPr>
        <w:t>S</w:t>
      </w:r>
      <w:r>
        <w:t xml:space="preserve"> × (8 + 2) = 40,960 surrogate evaluations per replication. The BNN posterior predictive mean μ̂(θ) serves as the deterministic evaluator, isolating parametric sensitivity from surrogate weight uncertainty.</w:t>
      </w:r>
    </w:p>
    <w:p w:rsidR="00026D0F" w:rsidRDefault="00000000">
      <w:r>
        <w:t>采用</w:t>
      </w:r>
      <w:r>
        <w:t xml:space="preserve"> Saltelli </w:t>
      </w:r>
      <w:r>
        <w:t>交叉矩阵采样方案与</w:t>
      </w:r>
      <w:r>
        <w:t xml:space="preserve"> Jansen </w:t>
      </w:r>
      <w:r>
        <w:t>估计量估计指数。从先验中抽取两个独立的</w:t>
      </w:r>
      <w:r>
        <w:t xml:space="preserve"> </w:t>
      </w:r>
      <w:r>
        <w:rPr>
          <w:i/>
        </w:rPr>
        <w:t>N</w:t>
      </w:r>
      <w:r>
        <w:rPr>
          <w:vertAlign w:val="subscript"/>
        </w:rPr>
        <w:t>S</w:t>
      </w:r>
      <w:r>
        <w:t xml:space="preserve"> × 8 </w:t>
      </w:r>
      <w:r>
        <w:t>矩阵</w:t>
      </w:r>
      <w:r>
        <w:t xml:space="preserve"> A </w:t>
      </w:r>
      <w:r>
        <w:t>与</w:t>
      </w:r>
      <w:r>
        <w:t xml:space="preserve"> B</w:t>
      </w:r>
      <w:r>
        <w:t>（</w:t>
      </w:r>
      <w:r>
        <w:rPr>
          <w:i/>
        </w:rPr>
        <w:t>N</w:t>
      </w:r>
      <w:r>
        <w:rPr>
          <w:vertAlign w:val="subscript"/>
        </w:rPr>
        <w:t>S</w:t>
      </w:r>
      <w:r>
        <w:t xml:space="preserve"> = 4096</w:t>
      </w:r>
      <w:r>
        <w:t>）。对每个输入维度</w:t>
      </w:r>
      <w:r>
        <w:t xml:space="preserve"> i</w:t>
      </w:r>
      <w:r>
        <w:t>，将</w:t>
      </w:r>
      <w:r>
        <w:t xml:space="preserve"> A </w:t>
      </w:r>
      <w:r>
        <w:t>的第</w:t>
      </w:r>
      <w:r>
        <w:t xml:space="preserve"> i </w:t>
      </w:r>
      <w:r>
        <w:t>列替换为</w:t>
      </w:r>
      <w:r>
        <w:t xml:space="preserve"> B </w:t>
      </w:r>
      <w:r>
        <w:t>的第</w:t>
      </w:r>
      <w:r>
        <w:t xml:space="preserve"> i </w:t>
      </w:r>
      <w:r>
        <w:t>列，形成交叉矩阵</w:t>
      </w:r>
      <w:r>
        <w:t xml:space="preserve"> A_B^(i)</w:t>
      </w:r>
      <w:r>
        <w:t>，每次重复需</w:t>
      </w:r>
      <w:r>
        <w:t xml:space="preserve"> </w:t>
      </w:r>
      <w:r>
        <w:rPr>
          <w:i/>
        </w:rPr>
        <w:t>N</w:t>
      </w:r>
      <w:r>
        <w:rPr>
          <w:vertAlign w:val="subscript"/>
        </w:rPr>
        <w:t>S</w:t>
      </w:r>
      <w:r>
        <w:t xml:space="preserve"> × (8 + 2) = 40,960 </w:t>
      </w:r>
      <w:r>
        <w:t>次代理评估。</w:t>
      </w:r>
      <w:r>
        <w:t xml:space="preserve">BNN </w:t>
      </w:r>
      <w:r>
        <w:t>后验预测均值</w:t>
      </w:r>
      <w:r>
        <w:t xml:space="preserve"> μ̂(θ) </w:t>
      </w:r>
      <w:r>
        <w:t>充当确定性评估器，将参数敏感性与代理权重不确定性分离。</w:t>
      </w:r>
    </w:p>
    <w:p w:rsidR="00026D0F" w:rsidRDefault="00000000">
      <w:r>
        <w:t>To quantify sampling uncertainty in the estimated indices, the analysis is independently repeated 50 times with different random seeds. The purpose of this replication is not to average over the BNN's weight uncertainty, which is already marginalised in μ̂(θ), but to quantify the Monte Carlo sampling noise inherent in the Saltelli estimator itself. The 90% confidence interval for each index is computed as S̄₁ ± 1.645 × SE, where SE is the standard error across the 50 replications. A factor is treated as a stable contributor only if the lower bound of its 90% CI exceeds zero. Factors whose CI includes zero are not interpreted as meaningful contributors, regardless of their point estimate.</w:t>
      </w:r>
    </w:p>
    <w:p w:rsidR="00026D0F" w:rsidRDefault="00000000">
      <w:r>
        <w:lastRenderedPageBreak/>
        <w:t>为量化估计指数中的采样不确定性，分析以不同随机种子独立重复</w:t>
      </w:r>
      <w:r>
        <w:t xml:space="preserve"> 50 </w:t>
      </w:r>
      <w:r>
        <w:t>次。重复的目的不是对</w:t>
      </w:r>
      <w:r>
        <w:t xml:space="preserve"> BNN </w:t>
      </w:r>
      <w:r>
        <w:t>权重不确定性求均值</w:t>
      </w:r>
      <w:r>
        <w:t xml:space="preserve">——μ̂(θ) </w:t>
      </w:r>
      <w:r>
        <w:t>中已完成边缘化</w:t>
      </w:r>
      <w:r>
        <w:t>——</w:t>
      </w:r>
      <w:r>
        <w:t>而是量化</w:t>
      </w:r>
      <w:r>
        <w:t xml:space="preserve"> Saltelli </w:t>
      </w:r>
      <w:r>
        <w:t>估计量本身固有的蒙特卡洛采样噪声。每个指数的</w:t>
      </w:r>
      <w:r>
        <w:t xml:space="preserve"> 90% </w:t>
      </w:r>
      <w:r>
        <w:t>置信区间计算为</w:t>
      </w:r>
      <w:r>
        <w:t xml:space="preserve"> S̄₁ ± 1.645 × SE</w:t>
      </w:r>
      <w:r>
        <w:t>，</w:t>
      </w:r>
      <w:r>
        <w:t xml:space="preserve">SE </w:t>
      </w:r>
      <w:r>
        <w:t>为</w:t>
      </w:r>
      <w:r>
        <w:t xml:space="preserve"> 50 </w:t>
      </w:r>
      <w:r>
        <w:t>次重复的标准误差。仅当</w:t>
      </w:r>
      <w:r>
        <w:t xml:space="preserve"> 90% CI </w:t>
      </w:r>
      <w:r>
        <w:t>下界严格大于零时，对应因子才视为稳定贡献者。</w:t>
      </w:r>
      <w:r>
        <w:t xml:space="preserve">CI </w:t>
      </w:r>
      <w:r>
        <w:t>包含零的因子无论点估计值如何，均不解释为有意义的贡献者。</w:t>
      </w:r>
    </w:p>
    <w:p w:rsidR="00026D0F" w:rsidRDefault="00000000">
      <w:pPr>
        <w:pStyle w:val="21"/>
      </w:pPr>
      <w:r>
        <w:t xml:space="preserve">4.6 </w:t>
      </w:r>
      <w:r>
        <w:t>后验标定方法</w:t>
      </w:r>
      <w:r>
        <w:t xml:space="preserve"> / Posterior Calibration Methodology</w:t>
      </w:r>
    </w:p>
    <w:p w:rsidR="00026D0F" w:rsidRDefault="00000000">
      <w:r>
        <w:t>Posterior calibration uses Bayesian inference to update the prior parameter distribution given observed coupled outputs. It quantifies how much parameter uncertainty can be reduced by measurement-like information. Let π(θ) denote the prior and p(y_obs | θ) the likelihood induced by the BNN posterior predictive mean and the observation-noise model. The posterior over calibrated parameters is then</w:t>
      </w:r>
    </w:p>
    <w:p w:rsidR="00026D0F" w:rsidRDefault="00000000">
      <w:pPr>
        <w:spacing w:before="80" w:after="80"/>
        <w:jc w:val="center"/>
      </w:pPr>
      <m:oMathPara>
        <m:oMath>
          <m:r>
            <w:rPr>
              <w:rFonts w:ascii="Cambria Math" w:hAnsi="Cambria Math"/>
            </w:rPr>
            <m:t>p(θ | y_obs) ∝ p(y_obs | θ) · π(θ).</m:t>
          </m:r>
        </m:oMath>
      </m:oMathPara>
    </w:p>
    <w:p w:rsidR="00026D0F" w:rsidRDefault="00000000">
      <w:r>
        <w:t>The posterior is represented by MCMC samples {θ^(m)}_{m=1}^{M}. It is used downstream as an updated parameter distribution and can be re-evaluated through the BNN posterior predictive function for any output of interest.</w:t>
      </w:r>
    </w:p>
    <w:p w:rsidR="00026D0F" w:rsidRDefault="00000000">
      <w:r>
        <w:t>后验标定使用贝叶斯推断在给定观测耦合输出的条件下更新先验参数分布，量化类测量信息可以减少多少参数不确定性。记先验为</w:t>
      </w:r>
      <w:r>
        <w:t xml:space="preserve"> π(θ)</w:t>
      </w:r>
      <w:r>
        <w:t>，由</w:t>
      </w:r>
      <w:r>
        <w:t xml:space="preserve"> BNN </w:t>
      </w:r>
      <w:r>
        <w:t>后验预测均值与观测噪声模型共同给出的似然为</w:t>
      </w:r>
      <w:r>
        <w:t xml:space="preserve"> p(y_obs | θ)</w:t>
      </w:r>
      <w:r>
        <w:t>。标定参数的后验即为</w:t>
      </w:r>
    </w:p>
    <w:p w:rsidR="00026D0F" w:rsidRDefault="00000000">
      <w:pPr>
        <w:spacing w:before="80" w:after="80"/>
        <w:jc w:val="center"/>
      </w:pPr>
      <m:oMathPara>
        <m:oMath>
          <m:r>
            <w:rPr>
              <w:rFonts w:ascii="Cambria Math" w:hAnsi="Cambria Math"/>
            </w:rPr>
            <m:t>p(θ | y_obs) ∝ p(y_obs | θ) · π(θ)</m:t>
          </m:r>
          <m:r>
            <w:rPr>
              <w:rFonts w:ascii="Cambria Math" w:hAnsi="Cambria Math"/>
            </w:rPr>
            <m:t>。</m:t>
          </m:r>
        </m:oMath>
      </m:oMathPara>
    </w:p>
    <w:p w:rsidR="00026D0F" w:rsidRDefault="00000000">
      <w:r>
        <w:t>后验通过</w:t>
      </w:r>
      <w:r>
        <w:t xml:space="preserve"> MCMC </w:t>
      </w:r>
      <w:r>
        <w:t>样本</w:t>
      </w:r>
      <w:r>
        <w:t xml:space="preserve"> {θ^(m)}_{m=1}^{M} </w:t>
      </w:r>
      <w:r>
        <w:t>表示。下游将其作为更新后的参数分布使用，并可针对任意感兴趣输出经</w:t>
      </w:r>
      <w:r>
        <w:t xml:space="preserve"> BNN </w:t>
      </w:r>
      <w:r>
        <w:t>后验预测函数重新评估。</w:t>
      </w:r>
    </w:p>
    <w:p w:rsidR="00026D0F" w:rsidRDefault="00000000">
      <w:r>
        <w:t xml:space="preserve">Four parameters are selected for calibration: </w:t>
      </w:r>
      <w:r>
        <w:rPr>
          <w:i/>
        </w:rPr>
        <w:t>E</w:t>
      </w:r>
      <w:r>
        <w:rPr>
          <w:vertAlign w:val="subscript"/>
        </w:rPr>
        <w:t>intercept</w:t>
      </w:r>
      <w:r>
        <w:t>, α</w:t>
      </w:r>
      <w:r>
        <w:rPr>
          <w:vertAlign w:val="subscript"/>
        </w:rPr>
        <w:t>base</w:t>
      </w:r>
      <w:r>
        <w:t>, α</w:t>
      </w:r>
      <w:r>
        <w:rPr>
          <w:vertAlign w:val="subscript"/>
        </w:rPr>
        <w:t>slope</w:t>
      </w:r>
      <w:r>
        <w:t xml:space="preserve"> and </w:t>
      </w:r>
      <w:r>
        <w:rPr>
          <w:i/>
        </w:rPr>
        <w:t>k</w:t>
      </w:r>
      <w:r>
        <w:rPr>
          <w:vertAlign w:val="subscript"/>
        </w:rPr>
        <w:t>ref</w:t>
      </w:r>
      <w:r>
        <w:t xml:space="preserve">. The subset was chosen on the basis of the Sobol ranking. These four parameters have the largest S₁ values for stress and/or </w:t>
      </w:r>
      <w:r>
        <w:rPr>
          <w:i/>
        </w:rPr>
        <w:t>k</w:t>
      </w:r>
      <w:r>
        <w:rPr>
          <w:vertAlign w:val="subscript"/>
        </w:rPr>
        <w:t>eff</w:t>
      </w:r>
      <w:r>
        <w:t xml:space="preserve">, and collectively account for the majority of the explained variance. The remaining four parameters </w:t>
      </w:r>
      <w:r>
        <w:rPr>
          <w:i/>
        </w:rPr>
        <w:t>E</w:t>
      </w:r>
      <w:r>
        <w:rPr>
          <w:vertAlign w:val="subscript"/>
        </w:rPr>
        <w:t>slope</w:t>
      </w:r>
      <w:r>
        <w:t xml:space="preserve">, </w:t>
      </w:r>
      <w:r>
        <w:rPr>
          <w:i/>
        </w:rPr>
        <w:t>T</w:t>
      </w:r>
      <w:r>
        <w:rPr>
          <w:vertAlign w:val="subscript"/>
        </w:rPr>
        <w:t>ref</w:t>
      </w:r>
      <w:r>
        <w:t xml:space="preserve">, </w:t>
      </w:r>
      <w:r>
        <w:rPr>
          <w:i/>
        </w:rPr>
        <w:t>k</w:t>
      </w:r>
      <w:r>
        <w:rPr>
          <w:vertAlign w:val="subscript"/>
        </w:rPr>
        <w:t>slope</w:t>
      </w:r>
      <w:r>
        <w:t xml:space="preserve"> and ν are fixed at their true test-case values. Fixing these parameters is a simplification that assumes they could be independently measured. Relaxing this </w:t>
      </w:r>
      <w:r>
        <w:lastRenderedPageBreak/>
        <w:t>assumption to a full 8-dimensional calibration would require additional independent observations to constrain the expanded parameter space.</w:t>
      </w:r>
    </w:p>
    <w:p w:rsidR="00026D0F" w:rsidRDefault="00000000">
      <w:r>
        <w:t>选择四个参数进行标定：</w:t>
      </w:r>
      <w:r>
        <w:rPr>
          <w:i/>
        </w:rPr>
        <w:t>E</w:t>
      </w:r>
      <w:r>
        <w:rPr>
          <w:vertAlign w:val="subscript"/>
        </w:rPr>
        <w:t>intercept</w:t>
      </w:r>
      <w:r>
        <w:t>、</w:t>
      </w:r>
      <w:r>
        <w:t>α</w:t>
      </w:r>
      <w:r>
        <w:rPr>
          <w:vertAlign w:val="subscript"/>
        </w:rPr>
        <w:t>base</w:t>
      </w:r>
      <w:r>
        <w:t>、</w:t>
      </w:r>
      <w:r>
        <w:t>α</w:t>
      </w:r>
      <w:r>
        <w:rPr>
          <w:vertAlign w:val="subscript"/>
        </w:rPr>
        <w:t>slope</w:t>
      </w:r>
      <w:r>
        <w:t xml:space="preserve"> </w:t>
      </w:r>
      <w:r>
        <w:t>与</w:t>
      </w:r>
      <w:r>
        <w:t xml:space="preserve"> </w:t>
      </w:r>
      <w:r>
        <w:rPr>
          <w:i/>
        </w:rPr>
        <w:t>k</w:t>
      </w:r>
      <w:r>
        <w:rPr>
          <w:vertAlign w:val="subscript"/>
        </w:rPr>
        <w:t>ref</w:t>
      </w:r>
      <w:r>
        <w:t>。该子集基于</w:t>
      </w:r>
      <w:r>
        <w:t xml:space="preserve"> Sobol </w:t>
      </w:r>
      <w:r>
        <w:t>排序选择。这四个参数对应力或</w:t>
      </w:r>
      <w:r>
        <w:t xml:space="preserve"> </w:t>
      </w:r>
      <w:r>
        <w:rPr>
          <w:i/>
        </w:rPr>
        <w:t>k</w:t>
      </w:r>
      <w:r>
        <w:rPr>
          <w:vertAlign w:val="subscript"/>
        </w:rPr>
        <w:t>eff</w:t>
      </w:r>
      <w:r>
        <w:t xml:space="preserve"> </w:t>
      </w:r>
      <w:r>
        <w:t>具有最大的</w:t>
      </w:r>
      <w:r>
        <w:t xml:space="preserve"> S₁ </w:t>
      </w:r>
      <w:r>
        <w:t>值，共同解释了大部分方差。其余四个参数</w:t>
      </w:r>
      <w:r>
        <w:t xml:space="preserve"> </w:t>
      </w:r>
      <w:r>
        <w:rPr>
          <w:i/>
        </w:rPr>
        <w:t>E</w:t>
      </w:r>
      <w:r>
        <w:rPr>
          <w:vertAlign w:val="subscript"/>
        </w:rPr>
        <w:t>slope</w:t>
      </w:r>
      <w:r>
        <w:t>、</w:t>
      </w:r>
      <w:r>
        <w:rPr>
          <w:i/>
        </w:rPr>
        <w:t>T</w:t>
      </w:r>
      <w:r>
        <w:rPr>
          <w:vertAlign w:val="subscript"/>
        </w:rPr>
        <w:t>ref</w:t>
      </w:r>
      <w:r>
        <w:t>、</w:t>
      </w:r>
      <w:r>
        <w:rPr>
          <w:i/>
        </w:rPr>
        <w:t>k</w:t>
      </w:r>
      <w:r>
        <w:rPr>
          <w:vertAlign w:val="subscript"/>
        </w:rPr>
        <w:t>slope</w:t>
      </w:r>
      <w:r>
        <w:t xml:space="preserve"> </w:t>
      </w:r>
      <w:r>
        <w:t>与</w:t>
      </w:r>
      <w:r>
        <w:t xml:space="preserve"> ν </w:t>
      </w:r>
      <w:r>
        <w:t>固定在真实测试案例值上。固定它们是一种简化，假定它们可被独立测量。若将该假设放松为完整</w:t>
      </w:r>
      <w:r>
        <w:t xml:space="preserve"> 8 </w:t>
      </w:r>
      <w:r>
        <w:t>维标定，则需要额外的独立观测以约束扩展的参数空间。</w:t>
      </w:r>
    </w:p>
    <w:p w:rsidR="00026D0F" w:rsidRDefault="00000000">
      <w:r>
        <w:t>The 18 benchmark cases are drawn from the test split to ensure the BNN has not seen the true parameter–output pairs during training. The cases are selected to cover a representative range of stress levels across the surrogate's operating domain.</w:t>
      </w:r>
    </w:p>
    <w:p w:rsidR="00026D0F" w:rsidRDefault="00000000">
      <w:r>
        <w:t xml:space="preserve">18 </w:t>
      </w:r>
      <w:r>
        <w:t>个基准案例从测试集中抽取，确保</w:t>
      </w:r>
      <w:r>
        <w:t xml:space="preserve"> BNN </w:t>
      </w:r>
      <w:r>
        <w:t>在训练中未见过真实参数</w:t>
      </w:r>
      <w:r>
        <w:t>–</w:t>
      </w:r>
      <w:r>
        <w:t>输出对。案例的选取覆盖代理运行范围内的代表性应力水平。</w:t>
      </w:r>
    </w:p>
    <w:p w:rsidR="00026D0F" w:rsidRDefault="00000000">
      <w:r>
        <w:t xml:space="preserve">For each benchmark case, the "observations" are the true HF outputs of 5 primary coupled quantities, corrupted by 2% multiplicative Gaussian noise. The five quantities are peak global stress, peak fuel temperature, peak monolith temperature, wall expansion and </w:t>
      </w:r>
      <w:r>
        <w:rPr>
          <w:i/>
        </w:rPr>
        <w:t>k</w:t>
      </w:r>
      <w:r>
        <w:rPr>
          <w:vertAlign w:val="subscript"/>
        </w:rPr>
        <w:t>eff</w:t>
      </w:r>
      <w:r>
        <w:t>. The noise model is y_obs = y_true + ε with ε ~ N(0, (0.02 × |y_true|)²). This noise level simulates realistic measurement uncertainty.</w:t>
      </w:r>
    </w:p>
    <w:p w:rsidR="00026D0F" w:rsidRDefault="00000000">
      <w:r>
        <w:t>对每个基准案例，</w:t>
      </w:r>
      <w:r>
        <w:t>"</w:t>
      </w:r>
      <w:r>
        <w:t>观测</w:t>
      </w:r>
      <w:r>
        <w:t>"</w:t>
      </w:r>
      <w:r>
        <w:t>为</w:t>
      </w:r>
      <w:r>
        <w:t xml:space="preserve"> 5 </w:t>
      </w:r>
      <w:r>
        <w:t>个主耦合输出的真实</w:t>
      </w:r>
      <w:r>
        <w:t xml:space="preserve"> HF </w:t>
      </w:r>
      <w:r>
        <w:t>值加</w:t>
      </w:r>
      <w:r>
        <w:t xml:space="preserve"> 2% </w:t>
      </w:r>
      <w:r>
        <w:t>乘性高斯噪声。五个输出量为峰值全局应力、峰值燃料温度、峰值基体温度、壁面膨胀量与</w:t>
      </w:r>
      <w:r>
        <w:t xml:space="preserve"> </w:t>
      </w:r>
      <w:r>
        <w:rPr>
          <w:i/>
        </w:rPr>
        <w:t>k</w:t>
      </w:r>
      <w:r>
        <w:rPr>
          <w:vertAlign w:val="subscript"/>
        </w:rPr>
        <w:t>eff</w:t>
      </w:r>
      <w:r>
        <w:t>。噪声模型为</w:t>
      </w:r>
      <w:r>
        <w:t xml:space="preserve"> y_obs = y_true + ε</w:t>
      </w:r>
      <w:r>
        <w:t>，</w:t>
      </w:r>
      <w:r>
        <w:t>ε ~ N(0, (0.02 × |y_true|)²)</w:t>
      </w:r>
      <w:r>
        <w:t>。该噪声水平模拟实际测量不确定性。</w:t>
      </w:r>
    </w:p>
    <w:p w:rsidR="00026D0F" w:rsidRDefault="00000000">
      <w:r>
        <w:t>The posterior is sampled using Metropolis-Hastings MCMC. Metropolis- Hastings is chosen because the BNN posterior predictive mean provides a pointwise likelihood evaluation but not a gradient; gradient-based samplers such as HMC are therefore not directly applicable without additional infrastructure. Each case is run with 4 independent chains. The use of multiple chains from dispersed initialisations serves two purposes: it guards against convergence to a local mode, and it enables the Gelman-Rubin R̂ convergence diagnostic. Each chain is initialised from a different random draw from the prior. The proposal distribution is a Gaussian centred at the current state, with per-parameter scale 0.40 × σ</w:t>
      </w:r>
      <w:r>
        <w:rPr>
          <w:vertAlign w:val="subscript"/>
        </w:rPr>
        <w:t>prior</w:t>
      </w:r>
      <w:r>
        <w:t>; σ</w:t>
      </w:r>
      <w:r>
        <w:rPr>
          <w:vertAlign w:val="subscript"/>
        </w:rPr>
        <w:t>prior</w:t>
      </w:r>
      <w:r>
        <w:t xml:space="preserve"> denotes the prior standard deviation. The scale 0.40 was selected by preliminary tuning on two pilot cases to target acceptance rates in the </w:t>
      </w:r>
      <w:r>
        <w:lastRenderedPageBreak/>
        <w:t>0.3–0.6 range recommended for random-walk Metropolis in moderate dimensions. Each chain runs for 8000 iterations. The first 2000 are discarded as burn-in to allow the chains to forget their initialisations and reach the stationary distribution. Every 5th sample is retained thereafter to reduce autocorrelation in the stored chain. This yields 1200 posterior samples per chain and 4800 per case after pooling. The log-likelihood for a candidate parameter vector θ* uses the BNN posterior predictive mean μ̂_j(θ*), marginalised over weight samples, as the forward-model surrogate:</w:t>
      </w:r>
    </w:p>
    <w:p w:rsidR="00026D0F" w:rsidRDefault="00000000">
      <w:r>
        <w:t>后验通过</w:t>
      </w:r>
      <w:r>
        <w:t xml:space="preserve"> Metropolis-Hastings MCMC </w:t>
      </w:r>
      <w:r>
        <w:t>采样。选择</w:t>
      </w:r>
      <w:r>
        <w:t xml:space="preserve"> Metropolis-Hastings </w:t>
      </w:r>
      <w:r>
        <w:t>是因为</w:t>
      </w:r>
      <w:r>
        <w:t xml:space="preserve"> BNN </w:t>
      </w:r>
      <w:r>
        <w:t>后验预测均值提供逐点似然评估但不提供梯度；梯度型采样器如</w:t>
      </w:r>
      <w:r>
        <w:t xml:space="preserve"> HMC </w:t>
      </w:r>
      <w:r>
        <w:t>在无额外基础设施时不可直接使用。每个案例独立运行</w:t>
      </w:r>
      <w:r>
        <w:t xml:space="preserve"> 4 </w:t>
      </w:r>
      <w:r>
        <w:t>条链。多链从分散起点出发有两个目的：防止收敛至局部模态，并支持</w:t>
      </w:r>
      <w:r>
        <w:t xml:space="preserve"> Gelman-Rubin R̂ </w:t>
      </w:r>
      <w:r>
        <w:t>收敛诊断。各链从先验中随机抽取不同起点初始化。提议分布为以当前状态为中心的高斯分布，每个参数尺度为</w:t>
      </w:r>
      <w:r>
        <w:t xml:space="preserve"> 0.40 × σ</w:t>
      </w:r>
      <w:r>
        <w:rPr>
          <w:vertAlign w:val="subscript"/>
        </w:rPr>
        <w:t>prior</w:t>
      </w:r>
      <w:r>
        <w:t>，</w:t>
      </w:r>
      <w:r>
        <w:t>σ</w:t>
      </w:r>
      <w:r>
        <w:rPr>
          <w:vertAlign w:val="subscript"/>
        </w:rPr>
        <w:t>prior</w:t>
      </w:r>
      <w:r>
        <w:t xml:space="preserve"> </w:t>
      </w:r>
      <w:r>
        <w:t>为先验标准差。</w:t>
      </w:r>
      <w:r>
        <w:t xml:space="preserve">0.40 </w:t>
      </w:r>
      <w:r>
        <w:t>的尺度经两个试点案例初步调参确定，以使接受率落在中等维度随机游走</w:t>
      </w:r>
      <w:r>
        <w:t xml:space="preserve"> Metropolis </w:t>
      </w:r>
      <w:r>
        <w:t>推荐的</w:t>
      </w:r>
      <w:r>
        <w:t xml:space="preserve"> 0.3–0.6 </w:t>
      </w:r>
      <w:r>
        <w:t>范围。每条链运行</w:t>
      </w:r>
      <w:r>
        <w:t xml:space="preserve"> 8000 </w:t>
      </w:r>
      <w:r>
        <w:t>步迭代。前</w:t>
      </w:r>
      <w:r>
        <w:t xml:space="preserve"> 2000 </w:t>
      </w:r>
      <w:r>
        <w:t>步作为烧入期丢弃，让链忘记初始化、达到平稳分布。其后每</w:t>
      </w:r>
      <w:r>
        <w:t xml:space="preserve"> 5 </w:t>
      </w:r>
      <w:r>
        <w:t>步保留</w:t>
      </w:r>
      <w:r>
        <w:t xml:space="preserve"> 1 </w:t>
      </w:r>
      <w:r>
        <w:t>个样本以降低自相关。由此每条链得到</w:t>
      </w:r>
      <w:r>
        <w:t xml:space="preserve"> 1200 </w:t>
      </w:r>
      <w:r>
        <w:t>个后验样本，合并后每个案例共</w:t>
      </w:r>
      <w:r>
        <w:t xml:space="preserve"> 4800 </w:t>
      </w:r>
      <w:r>
        <w:t>个。候选参数向量</w:t>
      </w:r>
      <w:r>
        <w:t xml:space="preserve"> θ* </w:t>
      </w:r>
      <w:r>
        <w:t>的对数似然以</w:t>
      </w:r>
      <w:r>
        <w:t xml:space="preserve"> BNN </w:t>
      </w:r>
      <w:r>
        <w:t>后验预测均值</w:t>
      </w:r>
      <w:r>
        <w:t xml:space="preserve"> μ̂_j(θ*)</w:t>
      </w:r>
      <w:r>
        <w:t>（已对权重样本边缘化）作为前向模型代理：</w:t>
      </w:r>
    </w:p>
    <w:p w:rsidR="00026D0F" w:rsidRDefault="00000000">
      <w:pPr>
        <w:spacing w:before="80" w:after="80"/>
        <w:jc w:val="center"/>
      </w:pPr>
      <m:oMathPara>
        <m:oMath>
          <m:r>
            <w:rPr>
              <w:rFonts w:ascii="Cambria Math" w:hAnsi="Cambria Math"/>
            </w:rPr>
            <m:t>log L(y_obs | θ*) = -(1/2) Σ_j [(y_obs,j - μ̂_j(θ*))² / σ²_obs,j</m:t>
          </m:r>
        </m:oMath>
      </m:oMathPara>
    </w:p>
    <w:p w:rsidR="00026D0F" w:rsidRDefault="00000000">
      <w:r>
        <w:t xml:space="preserve">                                   + log σ²_obs,j]</w:t>
      </w:r>
    </w:p>
    <w:p w:rsidR="00026D0F" w:rsidRDefault="00000000">
      <w:r>
        <w:t>where σ</w:t>
      </w:r>
      <w:r>
        <w:rPr>
          <w:vertAlign w:val="subscript"/>
        </w:rPr>
        <w:t>obs</w:t>
      </w:r>
      <w:r>
        <w:t>,j = 0.02 × |y_true,j| is the observation-noise standard deviation. Acceptance rates across the 18 benchmark cases are reported in Section 2.4. Convergence is assessed primarily by the Gelman-Rubin statistic R̂ across the 4 chains per case, supplemented by trace-plot inspection in Fig. A1. A case is judged converged when R̂ &lt; 1.1 for every calibrated parameter. Detailed per-case R̂ values are reported in Appendix F.</w:t>
      </w:r>
    </w:p>
    <w:p w:rsidR="00026D0F" w:rsidRDefault="00000000">
      <w:r>
        <w:lastRenderedPageBreak/>
        <w:t>其中</w:t>
      </w:r>
      <w:r>
        <w:t xml:space="preserve"> σ</w:t>
      </w:r>
      <w:r>
        <w:rPr>
          <w:vertAlign w:val="subscript"/>
        </w:rPr>
        <w:t>obs</w:t>
      </w:r>
      <w:r>
        <w:t xml:space="preserve">,j = 0.02 × |y_true,j| </w:t>
      </w:r>
      <w:r>
        <w:t>为观测噪声标准差。</w:t>
      </w:r>
      <w:r>
        <w:t xml:space="preserve">18 </w:t>
      </w:r>
      <w:r>
        <w:t>个基准案例的接受率在</w:t>
      </w:r>
      <w:r>
        <w:t xml:space="preserve"> §2.4 </w:t>
      </w:r>
      <w:r>
        <w:t>报告。收敛以每案例</w:t>
      </w:r>
      <w:r>
        <w:t xml:space="preserve"> 4 </w:t>
      </w:r>
      <w:r>
        <w:t>链的</w:t>
      </w:r>
      <w:r>
        <w:t xml:space="preserve"> Gelman-Rubin </w:t>
      </w:r>
      <w:r>
        <w:t>统计量</w:t>
      </w:r>
      <w:r>
        <w:t xml:space="preserve"> R̂ </w:t>
      </w:r>
      <w:r>
        <w:t>为主评估，并以图</w:t>
      </w:r>
      <w:r>
        <w:t xml:space="preserve"> A1 </w:t>
      </w:r>
      <w:r>
        <w:t>中的</w:t>
      </w:r>
      <w:r>
        <w:t xml:space="preserve"> trace plot </w:t>
      </w:r>
      <w:r>
        <w:t>作为辅助。当所有标定参数</w:t>
      </w:r>
      <w:r>
        <w:t xml:space="preserve"> R̂ &lt; 1.1 </w:t>
      </w:r>
      <w:r>
        <w:t>时该案例判为收敛。逐案例</w:t>
      </w:r>
      <w:r>
        <w:t xml:space="preserve"> R̂ </w:t>
      </w:r>
      <w:r>
        <w:t>详见附录</w:t>
      </w:r>
      <w:r>
        <w:t xml:space="preserve"> F</w:t>
      </w:r>
      <w:r>
        <w:t>。</w:t>
      </w:r>
    </w:p>
    <w:p w:rsidR="00026D0F" w:rsidRDefault="00000000">
      <w:r>
        <w:t>Posterior summaries reported in Section 2.4 are computed entirely on the surrogate side. An independent high-fidelity re-evaluation at the posterior-mean parameter vectors is documented separately as a supplementary consistency check, outside the calibration loop.</w:t>
      </w:r>
    </w:p>
    <w:p w:rsidR="00026D0F" w:rsidRDefault="00000000">
      <w:r>
        <w:t xml:space="preserve">§2.4 </w:t>
      </w:r>
      <w:r>
        <w:t>报告的后验汇总量完全在代理侧计算。在后验均值参数处对耦合求解器的独立高保真重评估作为补充一致性核验另行记录，不属于标定回路。</w:t>
      </w:r>
    </w:p>
    <w:p w:rsidR="00026D0F" w:rsidRDefault="00000000">
      <w:pPr>
        <w:pStyle w:val="1"/>
      </w:pPr>
      <w:r>
        <w:t xml:space="preserve">5. </w:t>
      </w:r>
      <w:r>
        <w:t>结论</w:t>
      </w:r>
      <w:r>
        <w:t xml:space="preserve"> / Conclusion</w:t>
      </w:r>
    </w:p>
    <w:p w:rsidR="00026D0F" w:rsidRDefault="00000000">
      <w:r>
        <w:t xml:space="preserve">A single BNN posterior predictive distribution, trained on coupled OpenMC–FEniCS data, serves as the shared probabilistic basis for forward propagation, sensitivity attribution and posterior calibration of a heat-pipe-cooled reactor. Forward Monte Carlo propagation shows that two-way coupling damps stress variability by ≈ 28% relative to a decoupled prediction. Sobol decomposition reveals that stress and </w:t>
      </w:r>
      <w:r>
        <w:rPr>
          <w:i/>
        </w:rPr>
        <w:t>k</w:t>
      </w:r>
      <w:r>
        <w:rPr>
          <w:vertAlign w:val="subscript"/>
        </w:rPr>
        <w:t>eff</w:t>
      </w:r>
      <w:r>
        <w:t xml:space="preserve"> are governed by largely separate parameter groups — </w:t>
      </w:r>
      <w:r>
        <w:rPr>
          <w:i/>
        </w:rPr>
        <w:t>E</w:t>
      </w:r>
      <w:r>
        <w:rPr>
          <w:vertAlign w:val="subscript"/>
        </w:rPr>
        <w:t>intercept</w:t>
      </w:r>
      <w:r>
        <w:t xml:space="preserve"> for stress, α</w:t>
      </w:r>
      <w:r>
        <w:rPr>
          <w:vertAlign w:val="subscript"/>
        </w:rPr>
        <w:t>base</w:t>
      </w:r>
      <w:r>
        <w:t xml:space="preserve"> for </w:t>
      </w:r>
      <w:r>
        <w:rPr>
          <w:i/>
        </w:rPr>
        <w:t>k</w:t>
      </w:r>
      <w:r>
        <w:rPr>
          <w:vertAlign w:val="subscript"/>
        </w:rPr>
        <w:t>eff</w:t>
      </w:r>
      <w:r>
        <w:t xml:space="preserve"> — so the two observables carry non-redundant information for inverse analysis. MCMC calibration contracts the material-parameter distribution toward observation-compatible regions with 90%-CI coverage </w:t>
      </w:r>
      <w:r>
        <w:rPr>
          <w:b/>
          <w:color w:val="CC0000"/>
        </w:rPr>
        <w:t>【</w:t>
      </w:r>
      <w:r>
        <w:rPr>
          <w:b/>
          <w:color w:val="CC0000"/>
        </w:rPr>
        <w:t>x</w:t>
      </w:r>
      <w:r>
        <w:rPr>
          <w:b/>
          <w:color w:val="CC0000"/>
        </w:rPr>
        <w:t>】</w:t>
      </w:r>
      <w:r>
        <w:t xml:space="preserve"> across 18 held-out benchmarks, and the posterior-mean BNN stress tracks the true high-fidelity stress at MAE </w:t>
      </w:r>
      <w:r>
        <w:rPr>
          <w:b/>
          <w:color w:val="CC0000"/>
        </w:rPr>
        <w:t>【</w:t>
      </w:r>
      <w:r>
        <w:rPr>
          <w:b/>
          <w:color w:val="CC0000"/>
        </w:rPr>
        <w:t>x</w:t>
      </w:r>
      <w:r>
        <w:rPr>
          <w:b/>
          <w:color w:val="CC0000"/>
        </w:rPr>
        <w:t>】</w:t>
      </w:r>
      <w:r>
        <w:t xml:space="preserve"> MPa over the 133–194 MPa range.</w:t>
      </w:r>
    </w:p>
    <w:p w:rsidR="00026D0F" w:rsidRDefault="00000000">
      <w:r>
        <w:t>The surrogate is roughly five orders of magnitude cheaper per evaluation than a coupled high-fidelity solve. This cost reduction makes the full uncertainty workflow — propagation, sensitivity and calibration — executable end-to-end on a single workstation. More broadly, inserting a posterior-predictive surrogate between the coupled solver and the probabilistic-analysis pipeline converts operations that were previously gated by repeated high-fidelity solves into routine computations. The same workflow is readily applicable to other complex coupled multi-physics systems where uncertainty propagation, sensitivity analysis and calibration are still handled separately.</w:t>
      </w:r>
    </w:p>
    <w:p w:rsidR="00026D0F" w:rsidRDefault="00000000">
      <w:r>
        <w:lastRenderedPageBreak/>
        <w:t>本文基于耦合</w:t>
      </w:r>
      <w:r>
        <w:t xml:space="preserve"> OpenMC–FEniCS </w:t>
      </w:r>
      <w:r>
        <w:t>数据训练了一个</w:t>
      </w:r>
      <w:r>
        <w:t xml:space="preserve"> BNN </w:t>
      </w:r>
      <w:r>
        <w:t>后验预测分布，使其同时服务于热管冷却反应堆的前向传播、敏感性归因与后验标定。前向蒙特卡洛传播表明双向耦合使应力变异相对解耦预测降低约</w:t>
      </w:r>
      <w:r>
        <w:t xml:space="preserve"> 28%</w:t>
      </w:r>
      <w:r>
        <w:t>。</w:t>
      </w:r>
      <w:r>
        <w:t xml:space="preserve">Sobol </w:t>
      </w:r>
      <w:r>
        <w:t>分解揭示应力与</w:t>
      </w:r>
      <w:r>
        <w:t xml:space="preserve"> </w:t>
      </w:r>
      <w:r>
        <w:rPr>
          <w:i/>
        </w:rPr>
        <w:t>k</w:t>
      </w:r>
      <w:r>
        <w:rPr>
          <w:vertAlign w:val="subscript"/>
        </w:rPr>
        <w:t>eff</w:t>
      </w:r>
      <w:r>
        <w:t xml:space="preserve"> </w:t>
      </w:r>
      <w:r>
        <w:t>分别由</w:t>
      </w:r>
      <w:r>
        <w:t xml:space="preserve"> </w:t>
      </w:r>
      <w:r>
        <w:rPr>
          <w:i/>
        </w:rPr>
        <w:t>E</w:t>
      </w:r>
      <w:r>
        <w:rPr>
          <w:vertAlign w:val="subscript"/>
        </w:rPr>
        <w:t>intercept</w:t>
      </w:r>
      <w:r>
        <w:t xml:space="preserve"> </w:t>
      </w:r>
      <w:r>
        <w:t>与</w:t>
      </w:r>
      <w:r>
        <w:t xml:space="preserve"> α</w:t>
      </w:r>
      <w:r>
        <w:rPr>
          <w:vertAlign w:val="subscript"/>
        </w:rPr>
        <w:t>base</w:t>
      </w:r>
      <w:r>
        <w:t xml:space="preserve"> </w:t>
      </w:r>
      <w:r>
        <w:t>主导，两类观测量在反演中提供互补信息。</w:t>
      </w:r>
      <w:r>
        <w:t xml:space="preserve">MCMC </w:t>
      </w:r>
      <w:r>
        <w:t>标定在</w:t>
      </w:r>
      <w:r>
        <w:t xml:space="preserve"> 18 </w:t>
      </w:r>
      <w:r>
        <w:t>个基准案例上将材料参数分布收敛至与观测相容的区域，</w:t>
      </w:r>
      <w:r>
        <w:t xml:space="preserve">90%-CI </w:t>
      </w:r>
      <w:r>
        <w:t>覆盖率为</w:t>
      </w:r>
      <w:r>
        <w:t xml:space="preserve"> </w:t>
      </w:r>
      <w:r>
        <w:rPr>
          <w:b/>
          <w:color w:val="CC0000"/>
        </w:rPr>
        <w:t>【</w:t>
      </w:r>
      <w:r>
        <w:rPr>
          <w:b/>
          <w:color w:val="CC0000"/>
        </w:rPr>
        <w:t>x</w:t>
      </w:r>
      <w:r>
        <w:rPr>
          <w:b/>
          <w:color w:val="CC0000"/>
        </w:rPr>
        <w:t>】</w:t>
      </w:r>
      <w:r>
        <w:t>，后验均值</w:t>
      </w:r>
      <w:r>
        <w:t xml:space="preserve"> BNN </w:t>
      </w:r>
      <w:r>
        <w:t>应力与真实高保真应力的</w:t>
      </w:r>
      <w:r>
        <w:t xml:space="preserve"> MAE </w:t>
      </w:r>
      <w:r>
        <w:t>为</w:t>
      </w:r>
      <w:r>
        <w:t xml:space="preserve"> </w:t>
      </w:r>
      <w:r>
        <w:rPr>
          <w:b/>
          <w:color w:val="CC0000"/>
        </w:rPr>
        <w:t>【</w:t>
      </w:r>
      <w:r>
        <w:rPr>
          <w:b/>
          <w:color w:val="CC0000"/>
        </w:rPr>
        <w:t>x</w:t>
      </w:r>
      <w:r>
        <w:rPr>
          <w:b/>
          <w:color w:val="CC0000"/>
        </w:rPr>
        <w:t>】</w:t>
      </w:r>
      <w:r>
        <w:t xml:space="preserve"> MPa</w:t>
      </w:r>
      <w:r>
        <w:t>，覆盖</w:t>
      </w:r>
      <w:r>
        <w:t xml:space="preserve"> 133–194 MPa </w:t>
      </w:r>
      <w:r>
        <w:t>应力范围。</w:t>
      </w:r>
    </w:p>
    <w:p w:rsidR="00026D0F" w:rsidRDefault="00000000">
      <w:r>
        <w:t>代理单次评估的代价较耦合高保真求解低约五个数量级。这一代价下降使完整的不确定性工作流</w:t>
      </w:r>
      <w:r>
        <w:t>——</w:t>
      </w:r>
      <w:r>
        <w:t>传播、敏感性与标定</w:t>
      </w:r>
      <w:r>
        <w:t>——</w:t>
      </w:r>
      <w:r>
        <w:t>可在单台工作站上端到端运行。更一般地，在耦合求解器与概率分析流水线之间嵌入后验预测代理，可将原本受制于反复高保真求解的操作转变为常规计算。同一方法可直接应用于其他目前仍将不确定性、敏感性与标定分别处理的复杂耦合多物理系统。</w:t>
      </w:r>
    </w:p>
    <w:p w:rsidR="00026D0F" w:rsidRDefault="00000000">
      <w:pPr>
        <w:pStyle w:val="1"/>
      </w:pPr>
      <w:r>
        <w:t>参考文献</w:t>
      </w:r>
      <w:r>
        <w:t xml:space="preserve"> / References</w:t>
      </w:r>
    </w:p>
    <w:p w:rsidR="00026D0F" w:rsidRDefault="00000000">
      <w:r>
        <w:t>[1]  McClure PR, Poston DI, Dixon DD, Cooley JW. Design of megawatt power level heat pipe reactors. Los Alamos National Laboratory Technical Report, LA-UR-15-28840; 2015.</w:t>
      </w:r>
    </w:p>
    <w:p w:rsidR="00026D0F" w:rsidRDefault="00000000">
      <w:r>
        <w:t>[2]  Stauff NE, Miao Y, Cao Y, et al. High-fidelity multiphysics modeling of a heat pipe microreactor using BlueCrab. Nuclear Science and Engineering. 2024. doi:10.1080/00295639.2024.2375175.</w:t>
      </w:r>
    </w:p>
    <w:p w:rsidR="00026D0F" w:rsidRDefault="00000000">
      <w:r>
        <w:t>[3]  Miao Y, Cao Y, Mo K, et al. Multiphysics simulation of KRUSTY warm critical experiments using MOOSE tools. Nuclear Science and Engineering. 2025. doi:10.1080/00295639.2025.2560170.</w:t>
      </w:r>
    </w:p>
    <w:p w:rsidR="00026D0F" w:rsidRDefault="00000000">
      <w:r>
        <w:t>[4]  Aldebie F, Fernández-Cosials K, Hassan YA. Thermal-mechanical safety analysis of heat pipe micro reactor. Nuclear Engineering and Design. 2024;420:113003. doi:10.1016/j.nucengdes.2024.113003.</w:t>
      </w:r>
    </w:p>
    <w:p w:rsidR="00026D0F" w:rsidRDefault="00000000">
      <w:r>
        <w:t xml:space="preserve">[5]  Jeong MJ, Im J, Lee S, Cho HK. Multiphysics analysis of heat pipe cooled microreactor core with adjusted heat sink temperature for thermal stress reduction using OpenFOAM coupled with </w:t>
      </w:r>
      <w:r>
        <w:lastRenderedPageBreak/>
        <w:t>neutronics and heat pipe code. Frontiers in Energy Research. 2023;11:1213000. doi:10.3389/fenrg.2023.1213000.</w:t>
      </w:r>
    </w:p>
    <w:p w:rsidR="00026D0F" w:rsidRDefault="00000000">
      <w:r>
        <w:t>[6]  Slaughter AE, Prince ZM, German P, et al. MOOSE Stochastic Tools: a module for performing parallel, memory-efficient in situ stochastic simulations. SoftwareX. 2023;22:101345. doi:10.1016/j.softx.2023.101345.</w:t>
      </w:r>
    </w:p>
    <w:p w:rsidR="00026D0F" w:rsidRDefault="00000000">
      <w:r>
        <w:t>[7]  Dhulipala SLN, German P, Che Y, et al. MOOSE ProbML: parallelized probabilistic machine learning and uncertainty quantification for computational energy applications. Journal of Computational Science. 2026;94:102776. doi:10.1016/j.jocs.2025.102776.</w:t>
      </w:r>
    </w:p>
    <w:p w:rsidR="00026D0F" w:rsidRDefault="00000000">
      <w:r>
        <w:t>[8]  Lim JY, Li J, O'Grady D, Downar T, Duraisamy K. A hybrid surrogate modeling framework for the Digital Twin of a Fluoride-salt-cooled High-temperature Reactor (FHR). Nuclear Engineering and Design. 2025;433:113690. doi:10.1016/j.nucengdes.2024.113690.</w:t>
      </w:r>
    </w:p>
    <w:p w:rsidR="00026D0F" w:rsidRDefault="00000000">
      <w:r>
        <w:t xml:space="preserve">[9]  Zhang T, Chen Y, Wang S, Liu X. Design-oriented multiphysics analysis and surrogate modelling of a heat-pipe-cooled reactor. Energy. 2025. </w:t>
      </w:r>
      <w:r>
        <w:rPr>
          <w:b/>
          <w:color w:val="CC0000"/>
        </w:rPr>
        <w:t>【</w:t>
      </w:r>
      <w:r>
        <w:rPr>
          <w:b/>
          <w:color w:val="CC0000"/>
        </w:rPr>
        <w:t>x</w:t>
      </w:r>
      <w:r>
        <w:rPr>
          <w:b/>
          <w:color w:val="CC0000"/>
        </w:rPr>
        <w:t>】</w:t>
      </w:r>
    </w:p>
    <w:p w:rsidR="00026D0F" w:rsidRDefault="00000000">
      <w:r>
        <w:t>[10] Blundell C, Cornebise J, Kavukcuoglu K, Wierstra D. Weight uncertainty in neural networks. Proceedings of the 32nd International Conference on Machine Learning (ICML). 2015; pp. 1613–1622.</w:t>
      </w:r>
    </w:p>
    <w:p w:rsidR="00026D0F" w:rsidRDefault="00000000">
      <w:pPr>
        <w:pStyle w:val="1"/>
      </w:pPr>
      <w:r>
        <w:t>致谢</w:t>
      </w:r>
      <w:r>
        <w:t xml:space="preserve"> / Acknowledgements</w:t>
      </w:r>
    </w:p>
    <w:p w:rsidR="00026D0F" w:rsidRDefault="00000000">
      <w:r>
        <w:t>The authors gratefully acknowledge the support provided by the National Natural Science Foundation of China [12175138]; Shanghai Rising-Star Program; and LingChuang Research Project of China National Nuclear Corporation.</w:t>
      </w:r>
    </w:p>
    <w:p w:rsidR="00026D0F" w:rsidRDefault="00000000">
      <w:r>
        <w:t>作者衷心感谢国家自然科学基金（项目编号</w:t>
      </w:r>
      <w:r>
        <w:t xml:space="preserve"> 12175138</w:t>
      </w:r>
      <w:r>
        <w:t>）、上海市</w:t>
      </w:r>
      <w:r>
        <w:t>"</w:t>
      </w:r>
      <w:r>
        <w:t>启明星</w:t>
      </w:r>
      <w:r>
        <w:t>"</w:t>
      </w:r>
      <w:r>
        <w:t>计划以及中国核工业集团有限公司</w:t>
      </w:r>
      <w:r>
        <w:t>"</w:t>
      </w:r>
      <w:r>
        <w:t>领创</w:t>
      </w:r>
      <w:r>
        <w:t>"</w:t>
      </w:r>
      <w:r>
        <w:t>研究项目对本研究的资助支持。</w:t>
      </w:r>
    </w:p>
    <w:p w:rsidR="00026D0F" w:rsidRDefault="00000000">
      <w:pPr>
        <w:pStyle w:val="1"/>
      </w:pPr>
      <w:r>
        <w:t>附录</w:t>
      </w:r>
      <w:r>
        <w:t xml:space="preserve"> / Appendices  (</w:t>
      </w:r>
      <w:r>
        <w:t>内容摘要</w:t>
      </w:r>
      <w:r>
        <w:t>)</w:t>
      </w:r>
    </w:p>
    <w:p w:rsidR="00026D0F" w:rsidRDefault="00000000">
      <w:r>
        <w:t xml:space="preserve">A. OOD </w:t>
      </w:r>
      <w:r>
        <w:t>评估（四特征尾部：应力</w:t>
      </w:r>
      <w:r>
        <w:t xml:space="preserve"> OOD </w:t>
      </w:r>
      <w:r>
        <w:rPr>
          <w:i/>
        </w:rPr>
        <w:t>R</w:t>
      </w:r>
      <w:r>
        <w:rPr>
          <w:vertAlign w:val="subscript"/>
        </w:rPr>
        <w:t>²</w:t>
      </w:r>
      <w:r>
        <w:t xml:space="preserve"> ≈ 0.75–0.79 </w:t>
      </w:r>
      <w:r>
        <w:t>稳定；</w:t>
      </w:r>
      <w:r>
        <w:rPr>
          <w:i/>
        </w:rPr>
        <w:t>k</w:t>
      </w:r>
      <w:r>
        <w:rPr>
          <w:vertAlign w:val="subscript"/>
        </w:rPr>
        <w:t>eff</w:t>
      </w:r>
      <w:r>
        <w:t xml:space="preserve"> OOD </w:t>
      </w:r>
      <w:r>
        <w:rPr>
          <w:i/>
        </w:rPr>
        <w:t>R</w:t>
      </w:r>
      <w:r>
        <w:rPr>
          <w:vertAlign w:val="subscript"/>
        </w:rPr>
        <w:t>²</w:t>
      </w:r>
      <w:r>
        <w:t xml:space="preserve"> </w:t>
      </w:r>
      <w:r>
        <w:t>跨特征为</w:t>
      </w:r>
      <w:r>
        <w:t xml:space="preserve"> 0.29–0.80</w:t>
      </w:r>
      <w:r>
        <w:t>，</w:t>
      </w:r>
      <w:r>
        <w:t>α</w:t>
      </w:r>
      <w:r>
        <w:rPr>
          <w:vertAlign w:val="subscript"/>
        </w:rPr>
        <w:t>base</w:t>
      </w:r>
      <w:r>
        <w:t xml:space="preserve"> </w:t>
      </w:r>
      <w:r>
        <w:t>尾部最低；附</w:t>
      </w:r>
      <w:r>
        <w:t xml:space="preserve"> SST </w:t>
      </w:r>
      <w:r>
        <w:t>膨胀说明）</w:t>
      </w:r>
      <w:r>
        <w:t xml:space="preserve"> B. BNN </w:t>
      </w:r>
      <w:r>
        <w:t>消融（去除物理先验单调性约束，仅保</w:t>
      </w:r>
      <w:r>
        <w:lastRenderedPageBreak/>
        <w:t>留</w:t>
      </w:r>
      <w:r>
        <w:t xml:space="preserve"> ELBO</w:t>
      </w:r>
      <w:r>
        <w:t>；与主代理的</w:t>
      </w:r>
      <w:r>
        <w:t xml:space="preserve"> </w:t>
      </w:r>
      <w:r>
        <w:rPr>
          <w:i/>
        </w:rPr>
        <w:t>R</w:t>
      </w:r>
      <w:r>
        <w:rPr>
          <w:vertAlign w:val="subscript"/>
        </w:rPr>
        <w:t>²</w:t>
      </w:r>
      <w:r>
        <w:t xml:space="preserve"> / PICP</w:t>
      </w:r>
      <w:r>
        <w:rPr>
          <w:vertAlign w:val="subscript"/>
        </w:rPr>
        <w:t>90</w:t>
      </w:r>
      <w:r>
        <w:t xml:space="preserve"> / MPIW</w:t>
      </w:r>
      <w:r>
        <w:rPr>
          <w:vertAlign w:val="subscript"/>
        </w:rPr>
        <w:t>90</w:t>
      </w:r>
      <w:r>
        <w:t xml:space="preserve"> / </w:t>
      </w:r>
      <w:r>
        <w:t>秩单调性对比；含不等式变体比较）</w:t>
      </w:r>
      <w:r>
        <w:t xml:space="preserve"> C. </w:t>
      </w:r>
      <w:r>
        <w:t>完整</w:t>
      </w:r>
      <w:r>
        <w:t xml:space="preserve"> Sobol </w:t>
      </w:r>
      <w:r>
        <w:t>结果（</w:t>
      </w:r>
      <w:r>
        <w:t xml:space="preserve">8 </w:t>
      </w:r>
      <w:r>
        <w:t>输入</w:t>
      </w:r>
      <w:r>
        <w:t xml:space="preserve"> × 2 </w:t>
      </w:r>
      <w:r>
        <w:t>输出，含</w:t>
      </w:r>
      <w:r>
        <w:t xml:space="preserve"> S_T </w:t>
      </w:r>
      <w:r>
        <w:t>指数与</w:t>
      </w:r>
      <w:r>
        <w:t xml:space="preserve"> CI</w:t>
      </w:r>
      <w:r>
        <w:t>）</w:t>
      </w:r>
      <w:r>
        <w:t xml:space="preserve"> D. </w:t>
      </w:r>
      <w:r>
        <w:t>全部</w:t>
      </w:r>
      <w:r>
        <w:t xml:space="preserve"> 15 </w:t>
      </w:r>
      <w:r>
        <w:t>输出量精度表（</w:t>
      </w:r>
      <w:r>
        <w:t xml:space="preserve">FIG A5: </w:t>
      </w:r>
      <w:r>
        <w:t>分输出精度图）</w:t>
      </w:r>
      <w:r>
        <w:t xml:space="preserve"> E. MCMC </w:t>
      </w:r>
      <w:r>
        <w:t>迹图（</w:t>
      </w:r>
      <w:r>
        <w:t>FIG A1</w:t>
      </w:r>
      <w:r>
        <w:t>）</w:t>
      </w:r>
      <w:r>
        <w:t xml:space="preserve">+ </w:t>
      </w:r>
      <w:r>
        <w:t>多链</w:t>
      </w:r>
      <w:r>
        <w:t xml:space="preserve"> R̂ </w:t>
      </w:r>
      <w:r>
        <w:t>诊断</w:t>
      </w:r>
      <w:r>
        <w:t xml:space="preserve"> F. </w:t>
      </w:r>
      <w:r>
        <w:t>先验</w:t>
      </w:r>
      <w:r>
        <w:t>–</w:t>
      </w:r>
      <w:r>
        <w:t>后验边缘分布（</w:t>
      </w:r>
      <w:r>
        <w:t>FIG A2</w:t>
      </w:r>
      <w:r>
        <w:t>）</w:t>
      </w:r>
      <w:r>
        <w:t xml:space="preserve"> G. BNN </w:t>
      </w:r>
      <w:r>
        <w:t>校准可靠性曲线（</w:t>
      </w:r>
      <w:r>
        <w:t>FIG A3</w:t>
      </w:r>
      <w:r>
        <w:t>）</w:t>
      </w:r>
      <w:r>
        <w:t xml:space="preserve"> H. </w:t>
      </w:r>
      <w:r>
        <w:t>预测方差分解诊断（认识论</w:t>
      </w:r>
      <w:r>
        <w:t xml:space="preserve"> vs </w:t>
      </w:r>
      <w:r>
        <w:t>偶然分量在测试集上的相对幅度，</w:t>
      </w:r>
      <w:r>
        <w:t>FIG A4</w:t>
      </w:r>
      <w:r>
        <w:t>）</w:t>
      </w:r>
      <w:r>
        <w:t xml:space="preserve"> I. </w:t>
      </w:r>
      <w:r>
        <w:t>先验</w:t>
      </w:r>
      <w:r>
        <w:t>–</w:t>
      </w:r>
      <w:r>
        <w:t>后验预测分布对比（</w:t>
      </w:r>
      <w:r>
        <w:t>FIG A6</w:t>
      </w:r>
      <w:r>
        <w:t>）</w:t>
      </w:r>
      <w:r>
        <w:t xml:space="preserve"> J. BNN </w:t>
      </w:r>
      <w:r>
        <w:t>架构示意图（</w:t>
      </w:r>
      <w:r>
        <w:t>FIG A7</w:t>
      </w:r>
      <w:r>
        <w:t>）</w:t>
      </w:r>
      <w:r>
        <w:t xml:space="preserve"> K. </w:t>
      </w:r>
      <w:r>
        <w:t>训练曲线（</w:t>
      </w:r>
      <w:r>
        <w:t>FIG A8</w:t>
      </w:r>
      <w:r>
        <w:t>）</w:t>
      </w:r>
      <w:r>
        <w:t xml:space="preserve">——BNN ELBO </w:t>
      </w:r>
      <w:r>
        <w:t>演化与无约束消融对比</w:t>
      </w:r>
      <w:r>
        <w:t xml:space="preserve"> L. </w:t>
      </w:r>
      <w:r>
        <w:t>速度基准详情表（</w:t>
      </w:r>
      <w:r>
        <w:t>TABLE L1</w:t>
      </w:r>
      <w:r>
        <w:t>）</w:t>
      </w:r>
      <w:r>
        <w:t xml:space="preserve"> M. </w:t>
      </w:r>
      <w:r>
        <w:t>前向</w:t>
      </w:r>
      <w:r>
        <w:t xml:space="preserve"> UQ predictive variant </w:t>
      </w:r>
      <w:r>
        <w:t>结果对比（</w:t>
      </w:r>
      <w:r>
        <w:t>μ̂-only vs full posterior predictive</w:t>
      </w:r>
      <w:r>
        <w:t>）</w:t>
      </w:r>
      <w:r>
        <w:t xml:space="preserve"> N. BNN </w:t>
      </w:r>
      <w:r>
        <w:t>推断方案消融（</w:t>
      </w:r>
      <w:r>
        <w:t>MFVI vs MC-Dropout vs Ensemble</w:t>
      </w:r>
      <w:r>
        <w:t>，若启用）</w:t>
      </w:r>
    </w:p>
    <w:sectPr w:rsidR="00026D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4854260">
    <w:abstractNumId w:val="8"/>
  </w:num>
  <w:num w:numId="2" w16cid:durableId="408355671">
    <w:abstractNumId w:val="6"/>
  </w:num>
  <w:num w:numId="3" w16cid:durableId="1909075659">
    <w:abstractNumId w:val="5"/>
  </w:num>
  <w:num w:numId="4" w16cid:durableId="941763653">
    <w:abstractNumId w:val="4"/>
  </w:num>
  <w:num w:numId="5" w16cid:durableId="1296330963">
    <w:abstractNumId w:val="7"/>
  </w:num>
  <w:num w:numId="6" w16cid:durableId="1033191400">
    <w:abstractNumId w:val="3"/>
  </w:num>
  <w:num w:numId="7" w16cid:durableId="188418523">
    <w:abstractNumId w:val="2"/>
  </w:num>
  <w:num w:numId="8" w16cid:durableId="592320586">
    <w:abstractNumId w:val="1"/>
  </w:num>
  <w:num w:numId="9" w16cid:durableId="203214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D0F"/>
    <w:rsid w:val="00034616"/>
    <w:rsid w:val="0006063C"/>
    <w:rsid w:val="0015074B"/>
    <w:rsid w:val="00260ACC"/>
    <w:rsid w:val="0029639D"/>
    <w:rsid w:val="00326F90"/>
    <w:rsid w:val="005313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F75E2"/>
  <w14:defaultImageDpi w14:val="300"/>
  <w15:docId w15:val="{CCF1AFDC-210E-1947-BC87-5A5B0D73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微软雅黑"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7650</Words>
  <Characters>43606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依诺 陈</cp:lastModifiedBy>
  <cp:revision>2</cp:revision>
  <dcterms:created xsi:type="dcterms:W3CDTF">2013-12-23T23:15:00Z</dcterms:created>
  <dcterms:modified xsi:type="dcterms:W3CDTF">2026-04-17T01:50:00Z</dcterms:modified>
  <cp:category/>
</cp:coreProperties>
</file>