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Posterior-Predictive Bayesian Surrogate for Coupled Neutronic–Thermal–Structural Analysis in Heat-Pipe-Cooled Reactors</w:t>
      </w:r>
    </w:p>
    <w:p>
      <w:pPr>
        <w:jc w:val="center"/>
      </w:pPr>
      <w:r>
        <w:rPr>
          <w:rFonts w:ascii="Times New Roman" w:hAnsi="Times New Roman" w:eastAsia="微软雅黑"/>
          <w:b/>
          <w:sz w:val="26"/>
        </w:rPr>
        <w:t>面向热管冷却反应堆耦合中子–热–力分析的后验预测贝叶斯代理</w:t>
      </w:r>
    </w:p>
    <w:p>
      <w:pPr>
        <w:jc w:val="center"/>
      </w:pPr>
      <w:r>
        <w:rPr>
          <w:rFonts w:ascii="Times New Roman" w:hAnsi="Times New Roman" w:eastAsia="微软雅黑"/>
          <w:color w:val="999999"/>
          <w:sz w:val="18"/>
        </w:rPr>
        <w:t>Draft v4 (Round-6A prose surgery)  |  Generated 2026-04-17 16:34</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Compact reactor designs couple neutronics, heat transfer and structural mechanics through two-way feedback, so material-parameter uncertainty propagates simultaneously across the three channels rather than within any single physics. Forward uncertainty propagation, global sensitivity attribution and observation-conditioned calibration are all natural analyses to ask of such a system, but each is intractable directly on the coupled solver. We train a Bayesian neural network (BNN) surrogate on coupled OpenMC–FEniCS data of a heat-pipe-cooled reactor and use its posterior predictive distribution as the single probabilistic object on which all three downstream analyses operate, without retraining or recalibration between them. Two-way coupling actively reshapes the parameter-driven stress distribution, reducing its standard deviation by ≈ 28% relative to a decoupled prediction; stress and reactivity are governed by largely separate dominant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respectively); and across 18 benchmark calibrations the inferred parameter distribution contracts toward observation-compatible regions with 90%-CI coverage </w:t>
      </w:r>
      <w:r>
        <w:rPr>
          <w:rFonts w:ascii="Times New Roman" w:hAnsi="Times New Roman" w:eastAsia="微软雅黑"/>
          <w:b/>
          <w:color w:val="CC0000"/>
        </w:rPr>
        <w:t>【x】</w:t>
      </w:r>
      <w:r>
        <w:rPr>
          <w:rFonts w:ascii="Times New Roman" w:hAnsi="Times New Roman" w:eastAsia="微软雅黑"/>
        </w:rPr>
        <w:t>. With each posterior predictive draw costing ≈ 1.76 × 10⁵× less than a coupled high-fidelity case (2266 s on AMD EPYC 9654), the full uncertainty workflow for the coupled system runs end-to-end at surrogate cost on a single workstation.</w:t>
      </w:r>
    </w:p>
    <w:p>
      <w:r>
        <w:rPr>
          <w:rFonts w:ascii="Times New Roman" w:hAnsi="Times New Roman" w:eastAsia="微软雅黑"/>
        </w:rPr>
        <w:t xml:space="preserve">紧凑型反应堆将中子学、传热与结构力学通过双向反馈紧密耦合，材料参数不确定性因此在三类物理之间同时传播，而非局限于任一单一物理。前向不确定性传播、全局敏感性归因与观测条件下的后验标定都是此类系统自然要问的分析，但任何一项都难以直接在耦合求解器上完成。本文以热管冷却反应堆为对象，在耦合 OpenMC–FEniCS 数据上训练贝叶斯神经网络（BNN）代理，并以其后验预测分布作为下游三类分析所共用的概率对象，三者无需各自重训或重新校准。双向耦合主动重塑了由参数驱动的应力分布，使其标准差相对解耦预测降低约 28%；应力与反应性由基本分离的主控参数支配（分别为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）；在 18 例基准案例上，所推断的参数分布收敛至与观测相容的区域，90%-CI 覆盖率为 </w:t>
      </w:r>
      <w:r>
        <w:rPr>
          <w:rFonts w:ascii="Times New Roman" w:hAnsi="Times New Roman" w:eastAsia="微软雅黑"/>
          <w:b/>
          <w:color w:val="CC0000"/>
        </w:rPr>
        <w:t>【x】</w:t>
      </w:r>
      <w:r>
        <w:rPr>
          <w:rFonts w:ascii="Times New Roman" w:hAnsi="Times New Roman" w:eastAsia="微软雅黑"/>
        </w:rPr>
        <w:t>。每次后验预测抽样的代价较耦合高保真单案例（AMD EPYC 9654 上 2266 s）减小约 1.76 × 10⁵ 倍，完整的耦合系统不确定性工作流可在单台工作站上以代理代价端到端运行。</w:t>
      </w:r>
    </w:p>
    <w:p>
      <w:pPr>
        <w:pStyle w:val="Heading1"/>
      </w:pPr>
      <w:r>
        <w:t>1. 引言 / Introduction</w:t>
      </w:r>
    </w:p>
    <w:p>
      <w:r>
        <w:rPr>
          <w:rFonts w:ascii="Times New Roman" w:hAnsi="Times New Roman" w:eastAsia="微软雅黑"/>
        </w:rPr>
        <w:t>Microreactors — compact, transportable fission systems rated at 1–20 MW_e — are being developed for decentralized power generation in remote communities, defense installations and space missions [1,11]. NASA and DOE are advancing fission surface-power systems for sustained lunar and planetary operations [12], while rapidly growing electricity demand from AI-intensive data centres reinforces the case for distributed, dispatchable zero-carbon generation [13]. Unlike conventional large-scale plants, these designs concentrate fission power, heat removal and structural loading within a compact monolithic core where neutronics, heat transfer and structural mechanics are tightly coupled through two-way feedback [1,2]. A single uncertain material parameter can simultaneously alter the neutronic balance, the thermal field and the stress state; the closed feedback loop may amplify or damp the resulting variability in ways that single-physics analyses cannot capture. The uncertainty problem in these systems is therefore inherently coupled.</w:t>
      </w:r>
    </w:p>
    <w:p>
      <w:r>
        <w:rPr>
          <w:rFonts w:ascii="Times New Roman" w:hAnsi="Times New Roman" w:eastAsia="微软雅黑"/>
        </w:rPr>
        <w:t>微型反应堆——额定 1–20 MW_e 的紧凑、可运输裂变系统——正面向偏远社区、国防设施及太空任务中的分布式供能而开发 [1,11]。NASA 与 DOE 正推进月面及行星任务的裂变地表供电系统 [12]，与此同时 AI 密集型数据中心电力需求的快速增长进一步强化了分布式、可调度零碳发电的需求 [13]。与常规大型电厂不同，此类设计将裂变功率、热量排出与结构载荷集中于紧凑的一体式堆芯，中子学、传热与结构力学通过双向反馈紧密耦合 [1,2]。单个不确定材料参数可同时改变中子平衡、温度场与应力状态；闭合反馈回路可能以单物理分析无法捕捉的方式放大或衰减由此产生的变异。因此，此类系统的不确定性问题本质上是耦合的。</w:t>
      </w:r>
    </w:p>
    <w:p>
      <w:r>
        <w:rPr>
          <w:rFonts w:ascii="Times New Roman" w:hAnsi="Times New Roman" w:eastAsia="微软雅黑"/>
        </w:rPr>
        <w:t>High-fidelity coupled solvers now exist for these systems: MOOSE-based toolchains handle neutronics–thermo-mechanics–heat-pipe coupling for KRUSTY-class and larger designs [2,3], and thermal–structural analyses have established stress concentration as a persistent safety concern in monolithic-core configurations [4,5]. Surrogate-assisted probabilistic modules in the MOOSE ecosystem [6,7] and digital-twin pipelines [8] address forward propagation, sensitivity or calibration individually, but each uses a separately constructed model with no shared probabilistic basis between analyses.</w:t>
      </w:r>
    </w:p>
    <w:p>
      <w:r>
        <w:rPr>
          <w:rFonts w:ascii="Times New Roman" w:hAnsi="Times New Roman" w:eastAsia="微软雅黑"/>
        </w:rPr>
        <w:t>高保真耦合求解器已适用于这类系统：基于 MOOSE 的工具链可处理 KRUSTY 类及更大设计上的中子–热力–热管耦合 [2,3]；热–力分析已确认应力集中是基体式堆芯构型中持续性的安全关注 [4,5]。MOOSE 生态 [6,7] 与数字孪生管线 [8] 中的代理辅助概率模块分别处理前向传播、敏感性或标定，但每类分析各自构建独立模型，三者之间缺乏共享的概率基础。</w:t>
      </w:r>
    </w:p>
    <w:p>
      <w:r>
        <w:rPr>
          <w:rFonts w:ascii="Times New Roman" w:hAnsi="Times New Roman" w:eastAsia="微软雅黑"/>
        </w:rPr>
        <w:t>Running the full probabilistic workflow — forward uncertainty propagation, global sensitivity analysis and Bayesian calibration — directly on the coupled solver is impractical at ~10³ s per solve. Gaussian-process and polynomial-chaos surrogates face dimensionality constraints in nonlinear coupled settings; physics-informed neural networks require a closed residual form that iterative solver exchange does not supply; deterministic neural networks produce only point predictions. None of these provides the coherent predictive distribution that all three analyses require.</w:t>
      </w:r>
    </w:p>
    <w:p>
      <w:r>
        <w:rPr>
          <w:rFonts w:ascii="Times New Roman" w:hAnsi="Times New Roman" w:eastAsia="微软雅黑"/>
        </w:rPr>
        <w:t>在耦合求解器上直接运行完整的概率工作流——前向不确定性传播、全局敏感性分析与贝叶斯标定——不可行，每次求解约需 10³ s。高斯过程与多项式混沌代理在非线性耦合设置下受维度限制；物理信息神经网络需要闭合残差形式，而迭代求解器交换无法提供；确定性神经网络仅产生点估计。上述方案均无法提供三类分析共同所需的连贯预测分布。</w:t>
      </w:r>
    </w:p>
    <w:p>
      <w:r>
        <w:rPr>
          <w:rFonts w:ascii="Times New Roman" w:hAnsi="Times New Roman" w:eastAsia="微软雅黑"/>
        </w:rPr>
        <w:t>A Bayesian neural network (BNN) fills this gap. By placing a distribution over the network weights, a BNN yields a posterior predictive distribution that can be sampled at negligible cost once trained. This single distribution serves as the shared probabilistic layer on which forward propagation, variance-based sensitivity attribution and observation-conditioned posterior calibration all operate, with no retraining or recalibration between them.</w:t>
      </w:r>
    </w:p>
    <w:p>
      <w:r>
        <w:rPr>
          <w:rFonts w:ascii="Times New Roman" w:hAnsi="Times New Roman" w:eastAsia="微软雅黑"/>
        </w:rPr>
        <w:t>贝叶斯神经网络（BNN）填补了这一空缺。通过对权重引入分布，BNN 在训练完成后即可以极低代价反复采样其后验预测分布。该分布充当前向传播、基于方差的敏感性归因与观测条件后验标定共同使用的概率层，三者之间无需重训或重新校准。</w:t>
      </w:r>
    </w:p>
    <w:p>
      <w:r>
        <w:rPr>
          <w:rFonts w:ascii="Times New Roman" w:hAnsi="Times New Roman" w:eastAsia="微软雅黑"/>
        </w:rPr>
        <w:t>This paper presents a BNN-based posterior-predictive framework for end-to-end probabilistic analysis of coupled multi-physics systems. The framework unifies forward uncertainty propagation, Sobol sensitivity decomposition and MCMC posterior calibration on a single predictive layer trained on coupled OpenMC–FEniCS data of a heat-pipe-cooled reactor. It reveals that two-way coupling damps stress variability by ≈ 28%, that stress and reactivity are governed by largely separate parameter pathways, and that the posterior calibration contracts the material-parameter distribution toward observation-compatible regions — all at five orders of magnitude less cost per evaluation than a coupled high-fidelity solve.</w:t>
      </w:r>
    </w:p>
    <w:p>
      <w:r>
        <w:rPr>
          <w:rFonts w:ascii="Times New Roman" w:hAnsi="Times New Roman" w:eastAsia="微软雅黑"/>
        </w:rPr>
        <w:t>本文提出了一套基于 BNN 后验预测分布的耦合多物理系统端到端概率分析框架。该框架将前向不确定性传播、Sobol 敏感性分解与 MCMC 后验标定统一到基于热管冷却反应堆耦合 OpenMC–FEniCS 数据训练的单一预测层上。框架揭示：双向耦合使应力变异降低约 28%；应力与反应性分别受制于基本独立的参数通道；后验标定将材料参数分布收敛至与观测相容的区域——以上分析的单次评估代价较耦合高保真求解低约五个数量级。</w:t>
      </w:r>
    </w:p>
    <w:p>
      <w:pPr>
        <w:pStyle w:val="Heading1"/>
      </w:pPr>
      <w:r>
        <w:t>2. 结果 / Results</w:t>
      </w:r>
    </w:p>
    <w:p>
      <w:pPr>
        <w:pStyle w:val="Heading2"/>
      </w:pPr>
      <w:r>
        <w:t>2.1 代理精度 / Surrogate Accuracy</w:t>
      </w:r>
    </w:p>
    <w:p>
      <w:r>
        <w:rPr>
          <w:rFonts w:ascii="Times New Roman" w:hAnsi="Times New Roman" w:eastAsia="微软雅黑"/>
        </w:rPr>
        <w:t xml:space="preserve">The framework rests on a single BNN that predicts all 15 coupled and decoupled outputs simultaneously; if this surrogate is inaccurate, the downstream propagation, sensitivity and calibration results are unreliable. The full accuracy table is in Appendix D. The main-text analyses focus on two outputs that bound separate safety margins: peak global stress in the SS316 monolith (structural integrity) and the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(reactivity stability).</w:t>
      </w:r>
    </w:p>
    <w:p>
      <w:r>
        <w:rPr>
          <w:rFonts w:ascii="Times New Roman" w:hAnsi="Times New Roman" w:eastAsia="微软雅黑"/>
        </w:rPr>
        <w:t xml:space="preserve">On 435 held-out test samples, the surrogate achieves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 for stress (RMSE 8.93 MPa, MAE 6.98 MPa) and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(Table 2, Fig. 2A). The 90% predictive intervals are conservatively calibrated; incorporating physics-prior monotonicity constraints tightens them without reducing coverage (ablation in Appendix B).</w:t>
      </w:r>
    </w:p>
    <w:p>
      <w:r>
        <w:rPr>
          <w:rFonts w:ascii="Times New Roman" w:hAnsi="Times New Roman" w:eastAsia="微软雅黑"/>
        </w:rPr>
        <w:t>The accuracy is sufficient for the distribution-level analyses that follow: the downstream conclusions depend on the shape and spread of the propagated distribution, not on per-sample interval sharpness.</w:t>
      </w:r>
    </w:p>
    <w:p>
      <w:r>
        <w:rPr>
          <w:rFonts w:ascii="Times New Roman" w:hAnsi="Times New Roman" w:eastAsia="微软雅黑"/>
        </w:rPr>
        <w:t xml:space="preserve">整个框架建立在一个同时预测全部 15 个耦合与解耦输出的 BNN 之上——若代理不准确，下游传播、敏感性与标定结果便不可靠。完整精度表见附录 D。正文聚焦分属不同安全裕量的两个输出：SS316 基体峰值全局应力（结构完整性）与中子增殖因子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（反应性稳定性）。</w:t>
      </w:r>
    </w:p>
    <w:p>
      <w:r>
        <w:rPr>
          <w:rFonts w:ascii="Times New Roman" w:hAnsi="Times New Roman" w:eastAsia="微软雅黑"/>
        </w:rPr>
        <w:t xml:space="preserve">在 435 个留出测试样本上，代理对应力预测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0.910（RMSE 8.93 MPa， MAE 6.98 MPa），对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预测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0.825（表 2、图 2A）。90% 预测区间为保守标定；引入物理先验单调性约束后区间收窄而覆盖率不降（消融见附录 B）。该精度足以支撑后续分布层面分析：下游结论取决于传播分布的形态与展宽，而非逐样本的区间锐度。</w:t>
      </w:r>
    </w:p>
    <w:p>
      <w:pPr>
        <w:pStyle w:val="Heading2"/>
      </w:pPr>
      <w:r>
        <w:t>2.2 前向不确定性传播 / Forward Uncertainty Propagation</w:t>
      </w:r>
    </w:p>
    <w:p>
      <w:r>
        <w:rPr>
          <w:rFonts w:ascii="Times New Roman" w:hAnsi="Times New Roman" w:eastAsia="微软雅黑"/>
        </w:rPr>
        <w:t>Propagating 20,000 Latin hypercube samples through the BNN posterior- predictive mean yields a coupled stress distribution with mean 162.5 MPa and standard deviation 35.5 MPa, versus a decoupled mean of 202.4 MPa and standard deviation of 49.2 MPa. Coupling reduces the stress standard deviation by ≈ 28% and lowers the mean by ≈ 40 MPa (Table 4, Fig. 3).</w:t>
      </w:r>
    </w:p>
    <w:p>
      <w:r>
        <w:rPr>
          <w:rFonts w:ascii="Times New Roman" w:hAnsi="Times New Roman" w:eastAsia="微软雅黑"/>
        </w:rPr>
        <w:t>将 20,000 个拉丁超立方样本通过 BNN 后验预测均值传播，所得耦合应力分布均值 162.5 MPa、标准差 35.5 MPa，解耦预测均值 202.4 MPa、标准差 49.2 MPa。耦合使应力标准差降低约 28%，均值下移约 40 MPa （表 4、图 3）。</w:t>
      </w:r>
    </w:p>
    <w:p>
      <w:r>
        <w:rPr>
          <w:rFonts w:ascii="Times New Roman" w:hAnsi="Times New Roman" w:eastAsia="微软雅黑"/>
        </w:rPr>
        <w:t xml:space="preserve">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because, at the reference geometry, the sampled material parameters do not enter the neutronic cross-section tables; all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originates from thermal-expansion modification of core geometry.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 1.1036，标准差约 107 pcm。解耦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几乎为常数，因为参考几何下采样材料参数不进入中子截面表；耦合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的全部展宽来自热膨胀对堆芯几何的改变。</w:t>
      </w:r>
    </w:p>
    <w:p>
      <w:pPr>
        <w:pStyle w:val="Heading2"/>
      </w:pPr>
      <w:r>
        <w:t>2.3 全局敏感性分析 / Global Sensitivity Analysis</w:t>
      </w:r>
    </w:p>
    <w:p>
      <w:r>
        <w:rPr>
          <w:rFonts w:ascii="Times New Roman" w:hAnsi="Times New Roman" w:eastAsia="微软雅黑"/>
        </w:rPr>
        <w:t xml:space="preserve">Sobol analysis (50 independent replications; full index table in Appendix C)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two largely separate physical pathways (Table 5, Fig. 4).</w:t>
      </w:r>
    </w:p>
    <w:p>
      <w:r>
        <w:rPr>
          <w:rFonts w:ascii="Times New Roman" w:hAnsi="Times New Roman" w:eastAsia="微软雅黑"/>
        </w:rPr>
        <w:t xml:space="preserve">基于方差的 Sobol 分析（50 次独立重复；完整指数表见附录 C）表明应力与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分别受制于两条基本独立的物理通道（表 5，图 4）。</w:t>
      </w:r>
    </w:p>
    <w:p>
      <w:r>
        <w:rPr>
          <w:rFonts w:ascii="Times New Roman" w:hAnsi="Times New Roman" w:eastAsia="微软雅黑"/>
        </w:rPr>
        <w:t xml:space="preserve">Stress is rooted in the elastic-constitutive pathway.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alone accounts for ≈ 56% of the first-order variance (S₁ ≈ 0.56), and the near-zero gap between its total-order and first-order indices (S_T − S₁ ≈ 0.04) indicates that it acts with minimal interaction. Secondary contributors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and ν — add a collective ≈ 15%, while the remaining four parameters are negligible. The dominance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a direct consequence of the generalised Hooke's law σ = C(E, ν) · ε: stiffness enters the stress field linearly.</w:t>
      </w:r>
    </w:p>
    <w:p>
      <w:r>
        <w:rPr>
          <w:rFonts w:ascii="Times New Roman" w:hAnsi="Times New Roman" w:eastAsia="微软雅黑"/>
        </w:rPr>
        <w:t>应力根植于弹性本构通道。</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单独解释约 56% 的一阶方差（S₁ ≈ 0.56），其总阶与一阶指数之差接近零（S_T − S₁ ≈ 0.04），表明交互效应极弱。次级贡献者——</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与 ν——合计约 15%，其余四个参数可忽略。</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的主导地位直接来自广义胡克定律 σ = C(E, ν) · ε：刚度线性进入应力场。</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rooted in the thermal-expansion pathway.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accounts for ≈ 74% of the first-order variance (S₁ ≈ 0.74): it sets the magnitude of geometric expansion, which alters neutron leakage and shifts the neutronic balance.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contributes a further ≈ 8%, while no elasticity or conductivity parameter has a first-order effect on reactivity above the noise floor.</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根植于热膨胀通道。</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解释约 74% 的一阶方差（S₁ ≈ 0.74）：它决定几何膨胀幅度，进而改变中子泄漏并偏移中子平衡。</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额外贡献约 8%，弹性与导热参数对反应性均无超出噪底的一阶效应。</w:t>
      </w:r>
    </w:p>
    <w:p>
      <w:r>
        <w:rPr>
          <w:rFonts w:ascii="Times New Roman" w:hAnsi="Times New Roman" w:eastAsia="微软雅黑"/>
        </w:rPr>
        <w:t xml:space="preserve">The two pathways share almost no dominant parameters. This separation means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different regions of the material-parameter space: stress primarily constrains elastic properties,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primarily constrains thermal-expansion properties. Neither output alone can substitute for the other in calibration or experimental design — an important constraint for any monitoring strategy that aims to reduce material-property uncertainty.</w:t>
      </w:r>
    </w:p>
    <w:p>
      <w:r>
        <w:rPr>
          <w:rFonts w:ascii="Times New Roman" w:hAnsi="Times New Roman" w:eastAsia="微软雅黑"/>
        </w:rPr>
        <w:t xml:space="preserve">两条通道几乎不共享主控参数。这一分离意味着应力与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观测分别约束材料参数空间的不同区域：应力主要约束弹性性质，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主要约束热膨胀性质。两类输出在标定或实验设计中不可互相替代——这对任何旨在降低材料不确定性的监测策略都是重要约束。</w:t>
      </w:r>
    </w:p>
    <w:p>
      <w:pPr>
        <w:pStyle w:val="Heading2"/>
      </w:pPr>
      <w:r>
        <w:t>2.4 后验标定 / Posterior Calibration</w:t>
      </w:r>
    </w:p>
    <w:p>
      <w:r>
        <w:rPr>
          <w:rFonts w:ascii="Times New Roman" w:hAnsi="Times New Roman" w:eastAsia="微软雅黑"/>
        </w:rPr>
        <w:t xml:space="preserve">Bayesian calibration uses the same BNN to update the prior parameter distribution given noisy observations. The four calibrated parameters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are the four that the Sobol analysis identified as covering the dominant variance channels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Metropolis-Hastings MCMC is run on 18 benchmark cases drawn from the test split (details in Section 4.6); acceptance rates range from </w:t>
      </w:r>
      <w:r>
        <w:rPr>
          <w:rFonts w:ascii="Times New Roman" w:hAnsi="Times New Roman" w:eastAsia="微软雅黑"/>
          <w:b/>
          <w:color w:val="CC0000"/>
        </w:rPr>
        <w:t>【x】</w:t>
      </w:r>
      <w:r>
        <w:rPr>
          <w:rFonts w:ascii="Times New Roman" w:hAnsi="Times New Roman" w:eastAsia="微软雅黑"/>
        </w:rPr>
        <w:t xml:space="preserve">, mean </w:t>
      </w:r>
      <w:r>
        <w:rPr>
          <w:rFonts w:ascii="Times New Roman" w:hAnsi="Times New Roman" w:eastAsia="微软雅黑"/>
          <w:b/>
          <w:color w:val="CC0000"/>
        </w:rPr>
        <w:t>【x】</w:t>
      </w:r>
      <w:r>
        <w:rPr>
          <w:rFonts w:ascii="Times New Roman" w:hAnsi="Times New Roman" w:eastAsia="微软雅黑"/>
        </w:rPr>
        <w:t xml:space="preserve"> (convergence diagnostics in Appendix E).</w:t>
      </w:r>
    </w:p>
    <w:p>
      <w:r>
        <w:rPr>
          <w:rFonts w:ascii="Times New Roman" w:hAnsi="Times New Roman" w:eastAsia="微软雅黑"/>
        </w:rPr>
        <w:t>贝叶斯标定使用同一 BNN，在含噪观测条件下更新先验参数分布。四个标定参数——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——正是 Sobol 分析辨识的应力与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方差主通道。Metropolis-Hastings MCMC 在测试集中抽取的 18 个基准案例上运行（细节见 §4.6）；接受率范围 </w:t>
      </w:r>
      <w:r>
        <w:rPr>
          <w:rFonts w:ascii="Times New Roman" w:hAnsi="Times New Roman" w:eastAsia="微软雅黑"/>
          <w:b/>
          <w:color w:val="CC0000"/>
        </w:rPr>
        <w:t>【x】</w:t>
      </w:r>
      <w:r>
        <w:rPr>
          <w:rFonts w:ascii="Times New Roman" w:hAnsi="Times New Roman" w:eastAsia="微软雅黑"/>
        </w:rPr>
        <w:t xml:space="preserve">，均值 </w:t>
      </w:r>
      <w:r>
        <w:rPr>
          <w:rFonts w:ascii="Times New Roman" w:hAnsi="Times New Roman" w:eastAsia="微软雅黑"/>
          <w:b/>
          <w:color w:val="CC0000"/>
        </w:rPr>
        <w:t>【x】</w:t>
      </w:r>
      <w:r>
        <w:rPr>
          <w:rFonts w:ascii="Times New Roman" w:hAnsi="Times New Roman" w:eastAsia="微软雅黑"/>
        </w:rPr>
        <w:t>（收敛诊断见附录 E）。</w:t>
      </w:r>
    </w:p>
    <w:p>
      <w:r>
        <w:rPr>
          <w:rFonts w:ascii="Times New Roman" w:hAnsi="Times New Roman" w:eastAsia="微软雅黑"/>
        </w:rPr>
        <w:t xml:space="preserve">Across the 18 cases, the posterior 90%-CI coverage is </w:t>
      </w:r>
      <w:r>
        <w:rPr>
          <w:rFonts w:ascii="Times New Roman" w:hAnsi="Times New Roman" w:eastAsia="微软雅黑"/>
          <w:b/>
          <w:color w:val="CC0000"/>
        </w:rPr>
        <w:t>【x】</w:t>
      </w:r>
      <w:r>
        <w:rPr>
          <w:rFonts w:ascii="Times New Roman" w:hAnsi="Times New Roman" w:eastAsia="微软雅黑"/>
        </w:rPr>
        <w:t xml:space="preserve"> — the observations successfully constrain the parameters that the Sobol analysis flagged as most influential.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its dominant role in the elastic-constitutive pathway.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an increase in stiffness can be partially offset by a decrease in thermal expansion, leaving the stress product σ ∝ E · α · ΔT approximately invariant. This partial non-identifiability arises from the multiplicative structure and would not be visible in a single-output calibration — it is precisely the cross-coupling that the Sobol decomposition showed to be weak but non-zero.</w:t>
      </w:r>
    </w:p>
    <w:p>
      <w:r>
        <w:rPr>
          <w:rFonts w:ascii="Times New Roman" w:hAnsi="Times New Roman" w:eastAsia="微软雅黑"/>
        </w:rPr>
        <w:t xml:space="preserve">18 个案例的后验 90%-CI 覆盖率为 </w:t>
      </w:r>
      <w:r>
        <w:rPr>
          <w:rFonts w:ascii="Times New Roman" w:hAnsi="Times New Roman" w:eastAsia="微软雅黑"/>
          <w:b/>
          <w:color w:val="CC0000"/>
        </w:rPr>
        <w:t>【x】</w:t>
      </w:r>
      <w:r>
        <w:rPr>
          <w:rFonts w:ascii="Times New Roman" w:hAnsi="Times New Roman" w:eastAsia="微软雅黑"/>
        </w:rPr>
        <w:t>——观测成功约束了 Sobol 分析标出的最有影响力的参数。在高应力案例中，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的边际向更大值偏移，与其在弹性本构通道中的主导角色一致。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的联合后验出现补偿脊：刚度增加可被热膨胀降低部分抵消，使应力乘积 σ ∝ E · α · ΔT 近似不变。这种部分不可识别性源于乘积结构，在单输出标定中不可见——它恰好对应 Sobol 分解所显示的弱但非零的交叉耦合。</w:t>
      </w:r>
    </w:p>
    <w:p>
      <w:r>
        <w:rPr>
          <w:rFonts w:ascii="Times New Roman" w:hAnsi="Times New Roman" w:eastAsia="微软雅黑"/>
        </w:rPr>
        <w:t xml:space="preserve">At the posterior-mean parameters of each case, the BNN-predicted stress tracks the true value with MAE = </w:t>
      </w:r>
      <w:r>
        <w:rPr>
          <w:rFonts w:ascii="Times New Roman" w:hAnsi="Times New Roman" w:eastAsia="微软雅黑"/>
          <w:b/>
          <w:color w:val="CC0000"/>
        </w:rPr>
        <w:t>【x】</w:t>
      </w:r>
      <w:r>
        <w:rPr>
          <w:rFonts w:ascii="Times New Roman" w:hAnsi="Times New Roman" w:eastAsia="微软雅黑"/>
        </w:rPr>
        <w:t xml:space="preserve"> MPa over a true-stress range of </w:t>
      </w:r>
      <w:r>
        <w:rPr>
          <w:rFonts w:ascii="Times New Roman" w:hAnsi="Times New Roman" w:eastAsia="微软雅黑"/>
          <w:b/>
          <w:color w:val="CC0000"/>
        </w:rPr>
        <w:t>【x】</w:t>
      </w:r>
      <w:r>
        <w:rPr>
          <w:rFonts w:ascii="Times New Roman" w:hAnsi="Times New Roman" w:eastAsia="微软雅黑"/>
        </w:rPr>
        <w:t xml:space="preserve"> MPa.</w:t>
      </w:r>
    </w:p>
    <w:p>
      <w:r>
        <w:rPr>
          <w:rFonts w:ascii="Times New Roman" w:hAnsi="Times New Roman" w:eastAsia="微软雅黑"/>
        </w:rPr>
        <w:t xml:space="preserve">在每个案例的后验均值参数处，BNN 预测应力与真值吻合，MAE = </w:t>
      </w:r>
      <w:r>
        <w:rPr>
          <w:rFonts w:ascii="Times New Roman" w:hAnsi="Times New Roman" w:eastAsia="微软雅黑"/>
          <w:b/>
          <w:color w:val="CC0000"/>
        </w:rPr>
        <w:t>【x】</w:t>
      </w:r>
      <w:r>
        <w:rPr>
          <w:rFonts w:ascii="Times New Roman" w:hAnsi="Times New Roman" w:eastAsia="微软雅黑"/>
        </w:rPr>
        <w:t xml:space="preserve"> MPa，真实应力范围 </w:t>
      </w:r>
      <w:r>
        <w:rPr>
          <w:rFonts w:ascii="Times New Roman" w:hAnsi="Times New Roman" w:eastAsia="微软雅黑"/>
          <w:b/>
          <w:color w:val="CC0000"/>
        </w:rPr>
        <w:t>【x】</w:t>
      </w:r>
      <w:r>
        <w:rPr>
          <w:rFonts w:ascii="Times New Roman" w:hAnsi="Times New Roman" w:eastAsia="微软雅黑"/>
        </w:rPr>
        <w:t xml:space="preserve"> MPa。</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stress standard deviation drops from ≈ 49.2 MPa in the decoupled response to ≈ 35.5 MPa after coupling convergence, a ≈ 28% reduction. The mechanism is the negative neutronic–thermal feedback characteristic of compact monolithic-core systems: thermal expansion modifies the core geometry, which shifts the neutronic balance and partially offsets the direct stress increase. What the BNN-based forward propagation establishes is the net effect of this feedback on the output distribution. A decoupled analysis does not see the feedback loop and therefore overestimates the parameter-driven stress variability.</w:t>
      </w:r>
    </w:p>
    <w:p>
      <w:r>
        <w:rPr>
          <w:rFonts w:ascii="Times New Roman" w:hAnsi="Times New Roman" w:eastAsia="微软雅黑"/>
        </w:rPr>
        <w:t>应力标准差从解耦响应的 ≈ 49.2 MPa 降至耦合收敛后的 ≈ 35.5 MPa，降幅约 28%。机制为紧凑型基体堆芯典型的负向中子–热反馈：热膨胀改变堆芯几何，偏移中子平衡并部分抵消直接的应力增加。BNN 前向传播所建立的是反馈对输出分布的净效应。解耦分析看不到该反馈回路，因此会高估参数驱动的应力变异。</w:t>
      </w:r>
    </w:p>
    <w:p>
      <w:r>
        <w:rPr>
          <w:rFonts w:ascii="Times New Roman" w:hAnsi="Times New Roman" w:eastAsia="微软雅黑"/>
        </w:rPr>
        <w:t>The overestimate is conservative for safety-margin evaluation and cannot produce an unsafe conclusion, but it inflates the apparent penalty of material-property uncertainty. In practice, this can translate into manufacturing tolerances stricter than the coupled response warrants.</w:t>
      </w:r>
    </w:p>
    <w:p>
      <w:r>
        <w:rPr>
          <w:rFonts w:ascii="Times New Roman" w:hAnsi="Times New Roman" w:eastAsia="微软雅黑"/>
        </w:rPr>
        <w:t>该高估对安全裕量评价是保守的，不会得出不安全结论，但会夸大材料不确定性所带来的表观惩罚。实际上，这可能转化为比耦合响应实际所需更严的制造公差。</w:t>
      </w:r>
    </w:p>
    <w:p>
      <w:pPr>
        <w:pStyle w:val="Heading2"/>
      </w:pPr>
      <w:r>
        <w:t>3.2 BNN 校准与模型选择 / BNN Calibration and Model Selection</w:t>
      </w:r>
    </w:p>
    <w:p>
      <w:r>
        <w:rPr>
          <w:rFonts w:ascii="Times New Roman" w:hAnsi="Times New Roman" w:eastAsia="微软雅黑"/>
        </w:rPr>
        <w:t>Compared with an ELBO-only BNN (Appendix B), adding physics-prior monotonicity constraints shrinks the 90% predictive interval without reducing coverage. The primary model (bnn-phy-mono) enforces monotonicity relations derived from the physics of the constitutive laws — for example, that stress increases with Young's modulus at fixed thermal strain. These constraints do not include inequality priors; the inequality variant (bnn-data-mono-ineq) is examined in the ablation study but is not the model used for the main-text results. The interval tightening at constant coverage indicates genuine sharpening rather than miscalibration, and the same posterior predictive distribution propagates consistently through forward UQ, Sobol attribution and MCMC calibration. A point-estimate surrogate would require separate uncertainty wrappers for each analysis with no guarantee of mutual consistency.</w:t>
      </w:r>
    </w:p>
    <w:p>
      <w:r>
        <w:rPr>
          <w:rFonts w:ascii="Times New Roman" w:hAnsi="Times New Roman" w:eastAsia="微软雅黑"/>
        </w:rPr>
        <w:t>相比 ELBO-only BNN（附录 B），引入物理先验单调性约束后 90% 预测区间收窄而覆盖率不降。主模型（bnn-phy-mono）施加的单调性关系来自本构物理——例如，在热应变固定时应力随弹性模量单调递增。该约束不包含不等式先验；不等式变体（bnn-data-mono-ineq）在消融研究中考察，但并非正文结果所用模型。覆盖率恒定而区间收窄，表明是真正的锐化而非失校，且同一后验预测分布可在前向 UQ、Sobol 归因与 MCMC 标定之间一致传播。点估计代理则需为每类分析分别构建不确定性，且无法保证相互一致。</w:t>
      </w:r>
    </w:p>
    <w:p>
      <w:pPr>
        <w:pStyle w:val="Heading2"/>
      </w:pPr>
      <w:r>
        <w:t>3.3 工程含义 / Engineering Implications</w:t>
      </w:r>
    </w:p>
    <w:p>
      <w:r>
        <w:rPr>
          <w:rFonts w:ascii="Times New Roman" w:hAnsi="Times New Roman" w:eastAsia="微软雅黑"/>
        </w:rPr>
        <w:t>The sensitivity and calibration results have three practical consequences for the engineering workflow around this class of reactor.</w:t>
      </w:r>
    </w:p>
    <w:p>
      <w:r>
        <w:rPr>
          <w:rFonts w:ascii="Times New Roman" w:hAnsi="Times New Roman" w:eastAsia="微软雅黑"/>
        </w:rPr>
        <w:t>敏感性与标定结果对此类反应堆的工程流程有三方面实际影响。</w:t>
      </w:r>
    </w:p>
    <w:p>
      <w:r>
        <w:rPr>
          <w:rFonts w:ascii="Times New Roman" w:hAnsi="Times New Roman" w:eastAsia="微软雅黑"/>
        </w:rPr>
        <w:t xml:space="preserve">Material-characterisation priority. In design stages where parameter knowledge comes from handbook values or manufacturer certificates, the Sobol ranking directly identifies where characterisation effort should concentrate. For stress-margin assessment, tightening the uncertainty 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e.g. through coupon tensile tests at operating temperature — is the single highest-leverage action; for reactivity stability, dilatometry to refine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priority. Because these two measurements target different experimental setups, they can proceed in parallel without competing for the same facility.</w:t>
      </w:r>
    </w:p>
    <w:p>
      <w:r>
        <w:rPr>
          <w:rFonts w:ascii="Times New Roman" w:hAnsi="Times New Roman" w:eastAsia="微软雅黑"/>
        </w:rPr>
        <w:t xml:space="preserve">材料表征优先级。在参数知识来源于手册值或制造商证书的设计阶段，Sobol 排序直接指出表征应集中在何处。对应力裕量评估，收窄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不确定性（例如通过运行温度下的试棒拉伸试验）是杠杆最高的单一行动；对反应性稳定性，通过膨胀仪测量精化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是优先项。两项测量对应不同实验装置，可并行推进而无需争夺同一设施。</w:t>
      </w:r>
    </w:p>
    <w:p>
      <w:r>
        <w:rPr>
          <w:rFonts w:ascii="Times New Roman" w:hAnsi="Times New Roman" w:eastAsia="微软雅黑"/>
        </w:rPr>
        <w:t>Iterative updating. When measured or monitored data become available — whether from prototype testing, post-irradiation examination or in-service monitoring — the posterior calibration folds that information into the same surrogate without retraining. The updated parameter distribution propagates immediately to all 15 outputs, producing progressively tighter safety-margin estimates as characterisation accumulates. If a posterior update reveals that a safety margin is tighter than initially expected, the Sobol ranking identifies which parameter to prioritise in the next round of characterisation.</w:t>
      </w:r>
    </w:p>
    <w:p>
      <w:r>
        <w:rPr>
          <w:rFonts w:ascii="Times New Roman" w:hAnsi="Times New Roman" w:eastAsia="微软雅黑"/>
        </w:rPr>
        <w:t>迭代更新。当实测或监测数据可用时——无论来自原型试验、辐照后检验还是在役监测——后验标定将该信息反馈到同一代理中而无需重训。更新后的参数分布立即传播到全部 15 个输出，随着表征积累逐步收紧安全裕量估计。若后验更新显示某项安全裕量比预期更紧，Sobol 排序即可指出下一轮表征应优先精化的参数。</w:t>
      </w:r>
    </w:p>
    <w:p>
      <w:r>
        <w:rPr>
          <w:rFonts w:ascii="Times New Roman" w:hAnsi="Times New Roman" w:eastAsia="微软雅黑"/>
        </w:rPr>
        <w:t xml:space="preserve">Multi-output experimental design. The near-zero parameter overlap between the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pathways means that a monitoring strategy based on a single composite metric (e.g. a weighted safety index) would lose information. Stress observations constrain elastic properties;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observations constrain thermal-expansion properties. A calibration protocol that combines both provides stronger parameter identification than either alone, and the Sobol decomposition quantifies how much each observation type contributes.</w:t>
      </w:r>
    </w:p>
    <w:p>
      <w:r>
        <w:rPr>
          <w:rFonts w:ascii="Times New Roman" w:hAnsi="Times New Roman" w:eastAsia="微软雅黑"/>
        </w:rPr>
        <w:t xml:space="preserve">多输出实验设计。应力与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通道之间主控参数几乎不重叠，这意味着基于单一综合指标（如加权安全指数）的监测策略会丢失信息。应力观测约束弹性性质，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观测约束热膨胀性质。联合两者的标定协议所提供的参数识别能力强于单一观测，而 Sobol 分解可量化每类观测的贡献。</w:t>
      </w:r>
    </w:p>
    <w:p>
      <w:r>
        <w:rPr>
          <w:rFonts w:ascii="Times New Roman" w:hAnsi="Times New Roman" w:eastAsia="微软雅黑"/>
        </w:rPr>
        <w:t>These are model-driven indications, not design directives; they do not substitute for verification on the high-fidelity solver.</w:t>
      </w:r>
    </w:p>
    <w:p>
      <w:r>
        <w:rPr>
          <w:rFonts w:ascii="Times New Roman" w:hAnsi="Times New Roman" w:eastAsia="微软雅黑"/>
        </w:rPr>
        <w:t>上述为模型驱动的指引而非设计指令，不替代高保真求解器上的核验。</w:t>
      </w:r>
    </w:p>
    <w:p>
      <w:pPr>
        <w:pStyle w:val="Heading2"/>
      </w:pPr>
      <w:r>
        <w:t>3.4 计算效率 / Computational Efficiency</w:t>
      </w:r>
    </w:p>
    <w:p>
      <w:r>
        <w:rPr>
          <w:rFonts w:ascii="Times New Roman" w:hAnsi="Times New Roman" w:eastAsia="微软雅黑"/>
        </w:rP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代理每完成一次后验预测抽样（对 50 个 MC 权重样本求均值）GPU 时间为 1.29×10⁻² s。批大小 1024 时单样本推断时间为 1.34×10⁻⁵ s，吞吐量约 7.5×10⁴ 样本/s。耦合高保真求解器单案例耗时 2266 s，约 38 分钟。该数字为 3 次独立运行的均值，标准差 1.34 s；测试硬件为 AMD EPYC 9654 96 核节点，566 GB RAM，2× RTX 5090。由此得到的加速比为：单次后验预测抽样相对 HF 约 1.76×10⁵，批处理单样本推断相对 HF 约 1.69×10⁸。 20,000 样本前向 UQ 推断（不含 I/O）约需 0.3 s GPU 时间，对应顺序 HF 成本约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The surrogate is trained on data from a single HPR design point. All quantitative results describe this specific configuration only; a different geometry, fuel enrichment or operating envelope would require regenerating the training set and retraining the BNN. The methodology itself is not design-specific: the same workflow of coupled-data generation, BNN training and three-stage probabilistic analysis is directly applicable to other reactor types and other coupled multi-physics systems.</w:t>
      </w:r>
    </w:p>
    <w:p>
      <w:r>
        <w:rPr>
          <w:rFonts w:ascii="Times New Roman" w:hAnsi="Times New Roman" w:eastAsia="微软雅黑"/>
        </w:rPr>
        <w:t>代理仅在单一 HPR 设计点的数据上训练，所有定量结果仅描述该构型。不同几何、燃料富集度或运行工况需要重新生成训练集并重训 BNN。但方法本身不依赖于特定设计：耦合数据生成、BNN 训练与三阶段概率分析的同一工作流可直接应用于其他堆型和其他耦合多物理系统。</w:t>
      </w:r>
    </w:p>
    <w:p>
      <w:r>
        <w:rPr>
          <w:rFonts w:ascii="Times New Roman" w:hAnsi="Times New Roman" w:eastAsia="微软雅黑"/>
        </w:rPr>
        <w:t>The MCMC calibration fixes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at their true values and calibrates the remaining four. Extending to a full eight-parameter calibration would require additional independent observations to constrain the expanded parameter space. The reported posterior contraction is therefore conditional on this four-parameter scope and should not be directly extrapolated to the unconstrained eight-dimensional case.</w:t>
      </w:r>
    </w:p>
    <w:p>
      <w:r>
        <w:rPr>
          <w:rFonts w:ascii="Times New Roman" w:hAnsi="Times New Roman" w:eastAsia="微软雅黑"/>
        </w:rPr>
        <w:t>MCMC 标定将四个参数（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、ν）固定在真实值上，对其余四个参数进行标定。扩展到完整八参数标定需要额外的独立观测来约束扩展的参数空间。所报告的后验收缩量以四参数标定为前提，不应直接外推到无约束的八维情形。</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surrogate degrades on out-of-distribution (OOD) feature-tail subsets: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drops to ≈ 0.29 versus 0.825 in-distribution, while stress retains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 across all tested tails.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therefore hold only within the training range of the dominant reactivity parameter (Appendix A).</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代理在分布外（OOD）特征尾部子集上退化：</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降至约 0.29，分布内为 0.825；应力在所有尾部子集上均保持 </w:t>
      </w:r>
      <w:r>
        <w:rPr>
          <w:rFonts w:ascii="Times New Roman" w:hAnsi="Times New Roman" w:eastAsia="微软雅黑"/>
          <w:i/>
        </w:rPr>
        <w:t>R</w:t>
      </w:r>
      <w:r>
        <w:rPr>
          <w:rFonts w:ascii="Times New Roman" w:hAnsi="Times New Roman" w:eastAsia="微软雅黑"/>
          <w:vertAlign w:val="subscript"/>
        </w:rPr>
        <w:t>²</w:t>
      </w:r>
      <w:r>
        <w:rPr>
          <w:rFonts w:ascii="Times New Roman" w:hAnsi="Times New Roman" w:eastAsia="微软雅黑"/>
        </w:rPr>
        <w:t xml:space="preserve">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与后验结论仅在主控反应性参数的训练范围内成立（附录 A）。</w:t>
      </w:r>
    </w:p>
    <w:p>
      <w:r>
        <w:rPr>
          <w:rFonts w:ascii="Times New Roman" w:hAnsi="Times New Roman" w:eastAsia="微软雅黑"/>
        </w:rPr>
        <w:t>All posterior summaries in Section 2.4 are computed on the surrogate side. An independent high-fidelity re-evaluation at the posterior-mean parameter vectors is documented separately as a supplementary consistency check. The present study uses synthetic observations constructed from the high-fidelity solver because no real operational data are available for this design. If experimental or monitoring data become available in the future, the same posterior calibration workflow can ingest real observations directly.</w:t>
      </w:r>
    </w:p>
    <w:p>
      <w:r>
        <w:rPr>
          <w:rFonts w:ascii="Times New Roman" w:hAnsi="Times New Roman" w:eastAsia="微软雅黑"/>
        </w:rPr>
        <w:t>§2.4 的所有后验汇总量均在代理侧计算。在后验均值参数处对耦合求解器的独立高保真重评估作为补充一致性核验另行记录。本研究使用由高保真求解器构造的合成观测，因为该设计尚无真实运行数据。若未来获取实验或监测数据，同一后验标定工作流可直接接入真实观测。</w:t>
      </w:r>
    </w:p>
    <w:p>
      <w:pPr>
        <w:pStyle w:val="Heading1"/>
      </w:pPr>
      <w:r>
        <w:t>4. 方法 / Methods</w:t>
      </w:r>
    </w:p>
    <w:p>
      <w:pPr>
        <w:pStyle w:val="Heading2"/>
      </w:pPr>
      <w:r>
        <w:t>4.1 材料不确定性模型 / Material Uncertainty Model</w:t>
      </w:r>
    </w:p>
    <w:p>
      <w:r>
        <w:rPr>
          <w:rFonts w:ascii="Times New Roman" w:hAnsi="Times New Roman" w:eastAsia="微软雅黑"/>
        </w:rPr>
        <w:t xml:space="preserve">The coupled HPR simulation involves eight material properties of the SS316 monolith, the structural component that simultaneously bears thermal stress and transmits heat between fuel and heat pipes. All eight enter the calculation through the constitutive models for elasticity, thermal expansion and thermal conductivity of this single material. Fuel thermal conductivity, heat-pipe working-fluid properties and other non-monolith parameters are held at their nominal values in the present study because they do not participate in the stress constitutive law and their influence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mediated primarily through the monolith temperature field, which the eight selected parameters already control. The eight parameters are grouped by physical function into three categories.</w:t>
      </w:r>
    </w:p>
    <w:p>
      <w:r>
        <w:rPr>
          <w:rFonts w:ascii="Times New Roman" w:hAnsi="Times New Roman" w:eastAsia="微软雅黑"/>
        </w:rPr>
        <w:t xml:space="preserve">HPR 耦合仿真涉及 SS316 基体的八个材料性质。基体是同时承受热应力并在燃料与热管之间传导热量的结构构件。全部八个参数通过同一材料的弹性、热膨胀与热传导本构模型进入计算。燃料热导率、热管工质性质等非基体参数在本研究中固定在标称值，因为它们不参与应力本构关系，且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的影响主要经由基体温度场传递，而基体温度场已被上述八个参数所控制。八个参数按物理功能分为三组。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with nominal value 2 × 10¹¹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决定基础刚度，标称值 2 × 10¹¹ Pa；</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反映温度软化，标称值 −7 × 10⁷ Pa/K。泊松比 ν 表征多轴应力状态，标称值 0.31。三个参数通过广义胡克定律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with nominal value 1 × 10⁻⁵ K⁻¹.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为参考条件下的膨胀系数，标称值 1 × 10⁻⁵ K⁻¹；</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为温度依赖性，标称值 5 × 10⁻⁹ K⁻²。这两个参数具有双重角色。其一，控制热应变 ε_th = α · ΔT，即热应力的载荷源；其二，决定堆芯几何膨胀的幅度，亦是材料性质影响中子学平衡的主要路径。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This form introduces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W/(m·K²). Together, these 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)。该形式引入三个不确定输入。参考热导率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标称值 1/75 W/(m·K²)。三者共同决定基体内部温度梯度，即裂变功率沉积与热应力之间的物理中间量。为与本文公开代码与数据保持一致，源代码中三者分别记作 SS316_k_ref、 SS316_T_ref 与 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the priors are summarised in Table 1. The ±10% range is a conventional uncertainty margin for manufactured stainless-steel properties. The same prior distribution is used throughout the workflow: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 θ_k ~ U[0.9 θ_nom,k, 1.1 θ_nom,k]；先验汇总于表 1。±10% 区间是制造级不锈钢性质的常规不确定性裕量。该先验分布在整套工作流中统一使用：在 §4.4 前向 UQ 中作为采样分布，在 §4.5 Sobol 分析中作为输入域，在 §4.6 后验标定中作为先验。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[9]. The iteration starts from the eight material parameters and the reference core geometry. OpenMC then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Convergence is declared when the maximum temperature difference between consecutive iterations falls below 1 K. An under-relaxation factor of 0.1 is applied to stabilise the iteration [9].</w:t>
      </w:r>
    </w:p>
    <w:p>
      <w:r>
        <w:rPr>
          <w:rFonts w:ascii="Times New Roman" w:hAnsi="Times New Roman" w:eastAsia="微软雅黑"/>
        </w:rPr>
        <w:t xml:space="preserve">高保真（HF）工作流通过 Picard 不动点迭代方案耦合 OpenMC 蒙特卡洛中子学与 FEniCS 有限元求解器 [9]。迭代从八个材料参数与参考堆芯几何出发。OpenMC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与空间分辨的裂变功率分布。上述结果传递给 FEniCS 热弹性模块，求解温度场、热膨胀位移与应力场。更新后的几何与温度相关材料截面反馈回 OpenMC，进入下一轮迭代。当连续迭代间最大温差低于 1 K 时判定收敛。迭代采用 0.1 的亚松弛因子以保证稳定 [9]。</w:t>
      </w:r>
    </w:p>
    <w:p>
      <w:r>
        <w:rPr>
          <w:rFonts w:ascii="Times New Roman" w:hAnsi="Times New Roman" w:eastAsia="微软雅黑"/>
        </w:rP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迭代过程保留两个精度层次。解耦单轮预测为耦合收敛前的首轮输出，此时 FEniCS 接收 OpenMC 的初始几何功率分布，产生无反馈的热力输出。耦合稳态预测为完全收敛后的输出。比较两者可分离多物理耦合对输出分布的影响。BNN 同时预测两个层次。</w:t>
      </w:r>
    </w:p>
    <w:p>
      <w:r>
        <w:rPr>
          <w:rFonts w:ascii="Times New Roman" w:hAnsi="Times New Roman" w:eastAsia="微软雅黑"/>
        </w:rPr>
        <w:t xml:space="preserve">Each HF evaluation produces 15 scalar outputs. The 7 decoupled outputs are average fuel temperature, peak fuel temperature, peak monolith temperature, peak global stress, monolith mean temperature, core height after expansion and wall expansion. The 8 coupled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after convergence. The posterior likelihood of Section 4.6 uses 5 primary outputs: coupled peak global stress, coupled peak fuel temperature, coupled peak monolith temperature, coupled wall expansion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个解耦输出包括平均燃料温度、峰值燃料温度、峰值基体温度、峰值全局应力、基体均温、膨胀后堆芯高度与壁面膨胀量。8 个耦合输出在收敛后于上述 7 个热力量基础上加入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§4.6 后验似然使用 5 个主输出：耦合峰值全局应力、耦合峰值燃料温度、耦合峰值基体温度、耦合壁面膨胀量与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The samples were split into training, validation and test sets with a fixed random seed (seed = 2026): 2029 training (~70%), 436 validation (~15%) and 435 test (~15%). This split is reused across all experiments for reproducibility. The BNN maps directly from the 8 input parameters to the 15 scalar outputs without resolving intermediate coupling fields.</w:t>
      </w:r>
    </w:p>
    <w:p>
      <w:r>
        <w:rPr>
          <w:rFonts w:ascii="Times New Roman" w:hAnsi="Times New Roman" w:eastAsia="微软雅黑"/>
        </w:rPr>
        <w:t>通过拉丁超立方采样在 8 维先验空间上生成 n = 2900 个样本。样本以固定随机种子（seed = 2026）划分为训练集 2029 个（约 70%）、验证集 436 个（约 15%）与测试集 435 个（约 15%）。该划分在所有实验中复用以保证可重复性。BNN 直接从 8 个输入参数映射到 15 个标量输出，不解析中间耦合场。</w:t>
      </w:r>
    </w:p>
    <w:p>
      <w:pPr>
        <w:pStyle w:val="Heading2"/>
      </w:pPr>
      <w:r>
        <w:t>4.3 贝叶斯神经网络代理 / Bayesian Neural Network Surrogate</w:t>
      </w:r>
    </w:p>
    <w:p>
      <w:r>
        <w:rPr>
          <w:rFonts w:ascii="Times New Roman" w:hAnsi="Times New Roman" w:eastAsia="微软雅黑"/>
        </w:rPr>
        <w:t>The surrogate is a Bayesian neural network (BNN) that places a prior distribution over the network weights and produces a posterior predictive distribution through mean-field variational inference (MFVI, Bayes-by-Backprop [10]). The network uses a fully connected backbone (depth 3–8 layers, width 64–256, SiLU activation) with two output heads: a mean head μ ∈ ℝ¹⁵ and a log-variance head log σ²_obs ∈ ℝ¹⁵ that models heteroscedastic observation noise.</w:t>
      </w:r>
    </w:p>
    <w:p>
      <w:r>
        <w:rPr>
          <w:rFonts w:ascii="Times New Roman" w:hAnsi="Times New Roman" w:eastAsia="微软雅黑"/>
        </w:rPr>
        <w:t>代理模型为贝叶斯神经网络（BNN），对网络权重引入先验分布，通过 mean-field 变分推断（MFVI，即 Bayes-by-Backprop [10]）产生后验预测分布。网络采用全连接主干（深度 3–8 层，宽度 64–256，SiLU 激活），并列两个输出头：均值头 μ ∈ ℝ¹⁵ 与对数方差头 log σ²_obs ∈ ℝ¹⁵，后者建模异方差观测噪声。</w:t>
      </w:r>
    </w:p>
    <w:p>
      <w:r>
        <w:rPr>
          <w:rFonts w:ascii="Times New Roman" w:hAnsi="Times New Roman" w:eastAsia="微软雅黑"/>
        </w:rPr>
        <w:t>The model assumes a Gaussian likelihood per output channel, y_j | θ, w ~ N(μ_{j,w}(θ), σ²_{obs,j,w}(θ)), with an isotropic Gaussian weight prior p(w) = N(0, σ²_p I). Training minimises the negative evidence lower bound (ELBO), balancing a heteroscedastic data-fit term against a KL regulariser toward the prior. The posterior predictive distribution at a new input θ is approximated by Monte Carlo averaging over M weight samples from the trained variational posterior q(w):</w:t>
      </w:r>
    </w:p>
    <w:p>
      <w:r>
        <w:rPr>
          <w:rFonts w:ascii="Times New Roman" w:hAnsi="Times New Roman" w:eastAsia="微软雅黑"/>
        </w:rPr>
        <w:t>模型对每个输出通道假设高斯似然 y_j | θ, w ~ N(μ_{j,w}(θ), σ²_{obs,j,w}(θ))，权重先验为 p(w) = N(0, σ²_p I)。训练最小化负证据下界（ELBO），在异方差数据拟合项与朝向先验的 KL 正则项之间取平衡。新输入 θ 处的后验预测分布通过对训练后变分后验 q(w) 的 M 个权重样本做蒙特卡洛平均来近似：</w:t>
      </w:r>
    </w:p>
    <w:p>
      <w:pPr>
        <w:spacing w:before="80" w:after="80"/>
        <w:jc w:val="center"/>
      </w:pPr>
      <m:oMathPara>
        <m:oMath>
          <m:r>
            <m:rPr>
              <m:sty m:val="pi"/>
            </m:rPr>
            <m:t xml:space="preserve">p(y | θ, D) ≈ (1/M) Σ_{m=1..M} p(y | θ, w^(m)),   w^(m) ~ q(w).</m:t>
          </m:r>
        </m:oMath>
      </m:oMathPara>
    </w:p>
    <w:p>
      <w:r>
        <w:rPr>
          <w:rFonts w:ascii="Times New Roman" w:hAnsi="Times New Roman" w:eastAsia="微软雅黑"/>
        </w:rPr>
        <w:t>At inference, M = 50 weight samples are drawn; Sobol analysis uses M = 30 and the MCMC likelihood uses M = 20. The posterior predictive mean and variance decompose into observation-noise and weight-uncertainty components (Appendix H). Hyperparameters were optimised via Optuna (details in Supplementary Table S1). Physics-prior monotonicity constraints are incorporated as an auxiliary loss term during training; the ablation study in Appendix B compares this against an unconstrained ELBO-only baseline and an inequality-constraint variant.</w:t>
      </w:r>
    </w:p>
    <w:p>
      <w:r>
        <w:rPr>
          <w:rFonts w:ascii="Times New Roman" w:hAnsi="Times New Roman" w:eastAsia="微软雅黑"/>
        </w:rPr>
        <w:t>推断时抽取 M = 50 个权重样本；Sobol 分析使用 M = 30，MCMC 似然使用 M = 20。后验预测均值与方差可分解为观测噪声分量与权重不确定性分量（附录 H）。超参数经 Optuna 优化（细节见补充表 S1）。训练中引入物理先验单调性约束作为辅助损失项；附录 B 的消融研究将其与无约束 ELBO-only 基线及不等式约束变体进行比较。</w:t>
      </w:r>
    </w:p>
    <w:p>
      <w:pPr>
        <w:pStyle w:val="Heading2"/>
      </w:pPr>
      <w:r>
        <w:t>4.4 前向不确定性传播方法 / Forward UQ Methodology</w:t>
      </w:r>
    </w:p>
    <w:p>
      <w:r>
        <w:rPr>
          <w:rFonts w:ascii="Times New Roman" w:hAnsi="Times New Roman" w:eastAsia="微软雅黑"/>
        </w:rPr>
        <w:t>Forward uncertainty propagation draws N = 20,000 Latin hypercube samples from the joint prior (Section 4.1) and evaluates the BNN posterior predictive mean y = E_w[μ_w(θ)] at each sample. The resulting empirical distribution of {μ̂(θ_i)} characterises how prior parameter uncertainty maps to output uncertainty. Using the posterior predictive mean rather than a full predictive draw isolates parametric uncertainty from the BNN's own epistemic and aleatoric spread; the predictive-draw variant is reported in Appendix M as a consistency check.</w:t>
      </w:r>
    </w:p>
    <w:p>
      <w:r>
        <w:rPr>
          <w:rFonts w:ascii="Times New Roman" w:hAnsi="Times New Roman" w:eastAsia="微软雅黑"/>
        </w:rPr>
        <w:t>前向不确定性传播从联合先验（§4.1）中抽取 N = 20,000 个拉丁超立方样本，对每个样本评估 BNN 后验预测均值 y = E_w[μ_w(θ)]。{μ̂(θ_i)} 的经验分布表征先验参数不确定性如何映射到输出不确定性。使用后验预测均值而非完整预测抽样，可将参数不确定性与 BNN 自身的认识论和偶然展宽分离；完整预测抽样变体在附录 M 中作为一致性核验报告。</w:t>
      </w:r>
    </w:p>
    <w:p>
      <w:pPr>
        <w:pStyle w:val="Heading2"/>
      </w:pPr>
      <w:r>
        <w:t>4.5 Sobol 敏感性分析方法 / Sobol Sensitivity Methodology</w:t>
      </w:r>
    </w:p>
    <w:p>
      <w:r>
        <w:rPr>
          <w:rFonts w:ascii="Times New Roman" w:hAnsi="Times New Roman" w:eastAsia="微软雅黑"/>
        </w:rPr>
        <w:t xml:space="preserve">Global sensitivity is assessed through variance-based Sobol indices. First-order indices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measure the fraction of output variance attributable to input i alone; total-order indices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include all interactions involving input i. Indices are estimated with the Saltelli cross-matrix scheme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per matrix, 40,960 surrogate evaluations per replication) using the BNN posterior predictive mean as the deterministic evaluator. The analysis is independently repeated 50 times to quantify sampling noise; a factor is treated as a stable contributor only if the lower bound of its 90% CI exceeds zero. Methodological details are in Supplementary Methods.</w:t>
      </w:r>
    </w:p>
    <w:p>
      <w:r>
        <w:rPr>
          <w:rFonts w:ascii="Times New Roman" w:hAnsi="Times New Roman" w:eastAsia="微软雅黑"/>
        </w:rPr>
        <w:t xml:space="preserve">全局敏感性通过基于方差的 Sobol 指数评估。一阶指数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度量仅由输入 i 单独引起的输出方差比例；总阶指数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汇集所有涉及输入 i 的效应。采用 Saltelli 交叉矩阵方案（每矩阵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4096，每次重复 40,960 次代理评估），以 BNN 后验预测均值为确定性评估器估计指数。分析独立重复 50 次以量化采样噪声；仅当 90% CI 下界严格大于零时对应因子视为稳定贡献者。方法细节见补充方法。</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noisy coupled observations. The posterior is</w:t>
      </w:r>
    </w:p>
    <w:p>
      <w:pPr>
        <w:spacing w:before="80" w:after="80"/>
        <w:jc w:val="center"/>
      </w:pPr>
      <m:oMathPara>
        <m:oMath>
          <m:r>
            <m:rPr>
              <m:sty m:val="pi"/>
            </m:rPr>
            <m:t xml:space="preserve">p(θ | y_obs) ∝ p(y_obs | θ) · π(θ),</m:t>
          </m:r>
        </m:oMath>
      </m:oMathPara>
    </w:p>
    <w:p>
      <w:r>
        <w:rPr>
          <w:rFonts w:ascii="Times New Roman" w:hAnsi="Times New Roman" w:eastAsia="微软雅黑"/>
        </w:rPr>
        <w:t xml:space="preserve">where the likelihood is evaluated through the BNN posterior predictive mean. Four parameters are calibrated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selected on the basis of their Sobol ranking; the remaining four are fixed at their true values.</w:t>
      </w:r>
    </w:p>
    <w:p>
      <w:r>
        <w:rPr>
          <w:rFonts w:ascii="Times New Roman" w:hAnsi="Times New Roman" w:eastAsia="微软雅黑"/>
        </w:rPr>
        <w:t>后验标定使用贝叶斯推断在含噪耦合观测条件下更新先验参数分布。后验为</w:t>
      </w:r>
    </w:p>
    <w:p>
      <w:pPr>
        <w:spacing w:before="80" w:after="80"/>
        <w:jc w:val="center"/>
      </w:pPr>
      <m:oMathPara>
        <m:oMath>
          <m:r>
            <m:rPr>
              <m:sty m:val="pi"/>
            </m:rPr>
            <m:t xml:space="preserve">p(θ | y_obs) ∝ p(y_obs | θ) · π(θ)，</m:t>
          </m:r>
        </m:oMath>
      </m:oMathPara>
    </w:p>
    <w:p>
      <w:r>
        <w:rPr>
          <w:rFonts w:ascii="Times New Roman" w:hAnsi="Times New Roman" w:eastAsia="微软雅黑"/>
        </w:rPr>
        <w:t>似然通过 BNN 后验预测均值评估。标定四个参数——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——基于 Sobol 排序选取；其余四个参数固定在真实值上。</w:t>
      </w:r>
    </w:p>
    <w:p>
      <w:r>
        <w:rPr>
          <w:rFonts w:ascii="Times New Roman" w:hAnsi="Times New Roman" w:eastAsia="微软雅黑"/>
        </w:rPr>
        <w:t>The 18 benchmark cases are drawn from the test split to cover a representative range of stress levels. For each case, observations are the true HF outputs of 5 primary coupled quantities perturbed by 2% multiplicative Gaussian noise. The posterior is sampled by Metropolis- Hastings MCMC with 4 independent chains (8000 iterations, burn-in 2000, thinning 5). Convergence is assessed by the Gelman-Rubin R̂ statistic; implementation details, trace plots and per-case diagnostics are in Appendix E–F and Supplementary Methods. Posterior summaries are computed entirely on the surrogate side; an independent HF re-evaluation at posterior-mean parameters is documented separately.</w:t>
      </w:r>
    </w:p>
    <w:p>
      <w:r>
        <w:rPr>
          <w:rFonts w:ascii="Times New Roman" w:hAnsi="Times New Roman" w:eastAsia="微软雅黑"/>
        </w:rPr>
        <w:t>18 个基准案例从测试集中抽取，覆盖代表性应力水平范围。每个案例的观测为 5 个主耦合输出的真实 HF 值加 2% 乘性高斯噪声。后验通过 Metropolis-Hastings MCMC 采样，4 条独立链（8000 步，烧入 2000，抽稀 5）。收敛以 Gelman-Rubin R̂ 统计量评估；实现细节、迹图与逐案例诊断见附录 E–F 及补充方法。后验汇总量完全在代理侧计算；在后验均值参数处的独立 HF 重评估另行记录。</w:t>
      </w:r>
    </w:p>
    <w:p>
      <w:pPr>
        <w:pStyle w:val="Heading1"/>
      </w:pPr>
      <w:r>
        <w:t>5. 结论 / Conclusion</w:t>
      </w:r>
    </w:p>
    <w:p>
      <w:r>
        <w:rPr>
          <w:rFonts w:ascii="Times New Roman" w:hAnsi="Times New Roman" w:eastAsia="微软雅黑"/>
        </w:rPr>
        <w:t xml:space="preserve">This work demonstrates that a single BNN posterior predictive distribution can serve as the shared probabilistic layer on which forward propagation, sensitivity attribution and posterior calibration all operate — without retraining or recalibration between analyses. Applied to a coupled OpenMC–FEniCS heat-pipe reactor model, the framework yields three linked findings. First, forward Monte Carlo propagation shows that two-way coupling damps stress variability by ≈ 28% relative to a decoupled prediction — a reduction invisible to single-physics analyses. Second, Sobol decomposition reveals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largely separate parameter groups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respectively), so the two observables carry non-redundant information for inverse analysis. Third, MCMC calibration contracts the material-parameter distribution toward observation- compatible regions with 90%-CI coverage </w:t>
      </w:r>
      <w:r>
        <w:rPr>
          <w:rFonts w:ascii="Times New Roman" w:hAnsi="Times New Roman" w:eastAsia="微软雅黑"/>
          <w:b/>
          <w:color w:val="CC0000"/>
        </w:rPr>
        <w:t>【x】</w:t>
      </w:r>
      <w:r>
        <w:rPr>
          <w:rFonts w:ascii="Times New Roman" w:hAnsi="Times New Roman" w:eastAsia="微软雅黑"/>
        </w:rPr>
        <w:t xml:space="preserve"> across 18 held-out benchmarks, and the posterior-mean BNN stress tracks the true high-fidelity stress at MAE </w:t>
      </w:r>
      <w:r>
        <w:rPr>
          <w:rFonts w:ascii="Times New Roman" w:hAnsi="Times New Roman" w:eastAsia="微软雅黑"/>
          <w:b/>
          <w:color w:val="CC0000"/>
        </w:rPr>
        <w:t>【x】</w:t>
      </w:r>
      <w:r>
        <w:rPr>
          <w:rFonts w:ascii="Times New Roman" w:hAnsi="Times New Roman" w:eastAsia="微软雅黑"/>
        </w:rPr>
        <w:t xml:space="preserve"> MPa over the 133–194 MPa range.</w:t>
      </w:r>
    </w:p>
    <w:p>
      <w:r>
        <w:rPr>
          <w:rFonts w:ascii="Times New Roman" w:hAnsi="Times New Roman" w:eastAsia="微软雅黑"/>
        </w:rPr>
        <w:t>The surrogate is roughly five orders of magnitude cheaper per evaluation than a coupled high-fidelity solve. This cost reduction makes the full uncertainty workflow — propagation, sensitivity and calibration — executable end-to-end on a single workstation. More broadly, the posterior-predictive framework converts analyses that were previously gated by repeated high-fidelity solves into routine computations on the same probabilistic object. The workflow is not specific to this reactor design: any coupled multi-physics system for which a BNN surrogate can be trained admits the same three-stage analysis pipeline.</w:t>
      </w:r>
    </w:p>
    <w:p>
      <w:r>
        <w:rPr>
          <w:rFonts w:ascii="Times New Roman" w:hAnsi="Times New Roman" w:eastAsia="微软雅黑"/>
        </w:rPr>
        <w:t xml:space="preserve">本文表明，单一 BNN 后验预测分布可作为前向传播、敏感性归因与后验标定三类分析共同依赖的概率层，且三者之间无需各自重训或重新校准。将该框架应用于热管冷却反应堆的耦合 OpenMC–FEniCS 模型，得出三项相互关联的发现。其一，前向蒙特卡洛传播表明双向耦合使应力变异相对解耦预测降低约 28%——单物理分析无法观测到这一降低。其二，Sobol 分解揭示应力与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分别由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主导，两类观测量在反演中提供互补信息。其三，MCMC 标定在 18 个基准案例上将材料参数分布收敛至与观测相容的区域，90%-CI 覆盖率为 </w:t>
      </w:r>
      <w:r>
        <w:rPr>
          <w:rFonts w:ascii="Times New Roman" w:hAnsi="Times New Roman" w:eastAsia="微软雅黑"/>
          <w:b/>
          <w:color w:val="CC0000"/>
        </w:rPr>
        <w:t>【x】</w:t>
      </w:r>
      <w:r>
        <w:rPr>
          <w:rFonts w:ascii="Times New Roman" w:hAnsi="Times New Roman" w:eastAsia="微软雅黑"/>
        </w:rPr>
        <w:t xml:space="preserve">，后验均值 BNN 应力与真实高保真应力的 MAE 为 </w:t>
      </w:r>
      <w:r>
        <w:rPr>
          <w:rFonts w:ascii="Times New Roman" w:hAnsi="Times New Roman" w:eastAsia="微软雅黑"/>
          <w:b/>
          <w:color w:val="CC0000"/>
        </w:rPr>
        <w:t>【x】</w:t>
      </w:r>
      <w:r>
        <w:rPr>
          <w:rFonts w:ascii="Times New Roman" w:hAnsi="Times New Roman" w:eastAsia="微软雅黑"/>
        </w:rPr>
        <w:t xml:space="preserve"> MPa，覆盖 133–194 MPa 应力范围。</w:t>
      </w:r>
    </w:p>
    <w:p>
      <w:r>
        <w:rPr>
          <w:rFonts w:ascii="Times New Roman" w:hAnsi="Times New Roman" w:eastAsia="微软雅黑"/>
        </w:rPr>
        <w:t>代理单次评估的代价较耦合高保真求解低约五个数量级。这一代价下降使完整的不确定性工作流——传播、敏感性与标定——可在单台工作站上端到端运行。更一般地，后验预测框架将原本受制于反复高保真求解的分析转变为在同一概率对象上的常规计算。该工作流不局限于本堆型：任何能够训练 BNN 代理的耦合多物理系统均可采用同一三阶段分析流程。</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 xml:space="preserve">[9]  Zhang T, Chen Y, Wang S, Liu X. Design-oriented multiphysics analysis and surrogate modelling of a heat-pipe-cooled reactor. Energy. 2025. </w:t>
      </w:r>
      <w:r>
        <w:rPr>
          <w:rFonts w:ascii="Times New Roman" w:hAnsi="Times New Roman" w:eastAsia="微软雅黑"/>
          <w:b/>
          <w:color w:val="CC0000"/>
        </w:rPr>
        <w:t>【x】</w:t>
      </w:r>
    </w:p>
    <w:p>
      <w:r>
        <w:rPr>
          <w:rFonts w:ascii="Times New Roman" w:hAnsi="Times New Roman" w:eastAsia="微软雅黑"/>
        </w:rPr>
        <w:t>[10] Blundell C, Cornebise J, Kavukcuoglu K, Wierstra D. Weight uncertainty in neural networks. Proceedings of the 32nd International Conference on Machine Learning (ICML). 2015; pp. 1613–1622.</w:t>
      </w:r>
    </w:p>
    <w:p>
      <w:r>
        <w:rPr>
          <w:rFonts w:ascii="Times New Roman" w:hAnsi="Times New Roman" w:eastAsia="微软雅黑"/>
        </w:rPr>
        <w:t>[11] DOE Office of Nuclear Energy. What is a microreactor? https://www.energy.gov/ne/articles/what-microreactor. 2021.</w:t>
      </w:r>
    </w:p>
    <w:p>
      <w:r>
        <w:rPr>
          <w:rFonts w:ascii="Times New Roman" w:hAnsi="Times New Roman" w:eastAsia="微软雅黑"/>
        </w:rPr>
        <w:t>[12] NASA. Fission Surface Power. https://www.nasa.gov/mission/fission-surface-power/. 2024.</w:t>
      </w:r>
    </w:p>
    <w:p>
      <w:r>
        <w:rPr>
          <w:rFonts w:ascii="Times New Roman" w:hAnsi="Times New Roman" w:eastAsia="微软雅黑"/>
        </w:rPr>
        <w:t>[13] IEA. Electricity 2025: Analysis and forecast to 2027. International Energy Agency; January 2025. https://www.iea.org/reports/electricity-2025.</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评估（四特征尾部诊断） B. BNN 消融（ELBO-only 基线 vs 单调性 vs 不等式变体） C. 完整 Sobol 结果（8 输入 × 2 输出，含 S_T 与 CI） D. 全部 15 输出精度表 E. MCMC 迹图 + R̂ 诊断 F. 先验–后验边缘分布 G. BNN 校准可靠性曲线 H. 预测方差分解（认识论 vs 偶然） I. 先验–后验预测分布对比 J. BNN 架构示意图 K. 训练曲线 L. 速度基准详情表 M. 前向 UQ predictive variant 对比</w:t>
      </w:r>
    </w:p>
    <w:p>
      <w:pPr>
        <w:pStyle w:val="Heading1"/>
      </w:pPr>
      <w:r>
        <w:t>补充方法 / Supplementary Methods  (从主文 Methods 移出的细节)</w:t>
      </w:r>
    </w:p>
    <w:p>
      <w:r>
        <w:rPr>
          <w:rFonts w:ascii="Times New Roman" w:hAnsi="Times New Roman" w:eastAsia="微软雅黑"/>
        </w:rPr>
        <w:t>S1. BNN 训练细节：ELBO 推导、KL 退火方案、Optuna 搜索空间完整表、变分后验参数化、梯度裁剪与初始化策略 S2. Sobol 方法细节：Sobol 分解推导、Saltelli 交叉矩阵构造、 Jansen 估计量定义、重复 CI 方法 S3. MCMC 实现细节：MH 提议分布设计、尺度调参、burn-in/thinning 选择依据、R̂ 计算、对数似然公式 S4. 前向 UQ 扩展：LHS 选择依据、μ̂-only vs 完整预测方差协议比较、百分位稳定性分析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