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 / 补充信息</w:t>
      </w:r>
    </w:p>
    <w:p>
      <w:r>
        <w:rPr>
          <w:rFonts w:ascii="Times New Roman" w:hAnsi="Times New Roman" w:eastAsia="微软雅黑"/>
        </w:rPr>
        <w:t>Bayesian Neural Surrogates Unify Uncertainty Propagation, Sensitivity Attribution and Calibration for Coupled Multi-Physics Reactor Analysis</w:t>
      </w:r>
    </w:p>
    <w:p>
      <w:r>
        <w:rPr>
          <w:rFonts w:ascii="Times New Roman" w:hAnsi="Times New Roman" w:eastAsia="微软雅黑"/>
        </w:rPr>
        <w:t>贝叶斯神经代理统一耦合多物理反应堆分析中的不确定性传播、敏感性归因与标定</w:t>
      </w:r>
    </w:p>
    <w:p>
      <w:r>
        <w:rPr>
          <w:rFonts w:ascii="Times New Roman" w:hAnsi="Times New Roman" w:eastAsia="微软雅黑"/>
        </w:rPr>
        <w:t>Yinuo Chen, Sicheng Wang, Xiaojing Liu*, Tengfei Zhang*</w:t>
      </w:r>
    </w:p>
    <w:p>
      <w:pPr>
        <w:pStyle w:val="Heading1"/>
      </w:pPr>
      <w:r>
        <w:t>Contents / 目录</w:t>
      </w:r>
    </w:p>
    <w:p>
      <w:r>
        <w:rPr>
          <w:rFonts w:ascii="Times New Roman" w:hAnsi="Times New Roman" w:eastAsia="微软雅黑"/>
        </w:rPr>
        <w:t>I.   Supplementary Figures / 补充图  .................................  (below) II.  Supplementary Tables / 补充表  ..................................  (below) III. Supplementary Notes / 补充说明 A. BNN training details / BNN 训练细节  .........................  (below) B. Sobol sensitivity methodology / Sobol 敏感性方法  ............  (below) C. MCMC posterior calibration details / MCMC 后验标定细节  ......  (below) D. Forward UQ extensions / 前向 UQ 扩展  .......................  (below) E. Coupled simulation and material model / 耦合仿真与材料模型  ..  (below) References / 参考文献  ...............................................  (below)</w:t>
      </w:r>
    </w:p>
    <w:p>
      <w:pPr>
        <w:pStyle w:val="Heading1"/>
      </w:pPr>
      <w:r>
        <w:t>I. Supplementary Figures / 补充图</w:t>
      </w:r>
    </w:p>
    <w:p>
      <w:pPr>
        <w:pStyle w:val="Heading2"/>
      </w:pPr>
      <w:r>
        <w:t>Fig. S1 | BNN surrogate workflow. 图 S1 | BNN 代理工作流。</w:t>
      </w:r>
    </w:p>
    <w:p>
      <w:r>
        <w:rPr>
          <w:rFonts w:ascii="Times New Roman" w:hAnsi="Times New Roman" w:eastAsia="微软雅黑"/>
          <w:i/>
          <w:color w:val="0055AA"/>
          <w:sz w:val="20"/>
        </w:rPr>
        <w:t>[Source: figures/fig1_workflow.png]</w:t>
      </w:r>
    </w:p>
    <w:p>
      <w:r>
        <w:rPr>
          <w:rFonts w:ascii="Times New Roman" w:hAnsi="Times New Roman" w:eastAsia="微软雅黑"/>
        </w:rPr>
        <w:t>Schematic of the end-to-end probabilistic analysis framework. The BNN surrogate is trained on coupled OpenMC-FEniCS data and produces a posterior predictive distribution. This single distribution serves as the shared probabilistic layer for forward uncertainty propagation (Section 2.2), Sobol sensitivity attribution (Section 2.3), and MCMC posterior calibration (Section 2.4), without retraining between analyses.</w:t>
      </w:r>
    </w:p>
    <w:p>
      <w:r>
        <w:rPr>
          <w:rFonts w:ascii="Times New Roman" w:hAnsi="Times New Roman" w:eastAsia="微软雅黑"/>
        </w:rPr>
        <w:t>端到端概率分析框架示意图。BNN 代理在耦合 OpenMC-FEniCS 数据上训练，产生后验预测分布。该分布作为前向不确定性传播（第 2.2 节）、Sobol 敏感性归因（第 2.3 节）和 MCMC 后验标定（第 2.4 节）的共享概率层，三者之间无需重训。</w:t>
      </w:r>
    </w:p>
    <w:p>
      <w:pPr>
        <w:pStyle w:val="Heading2"/>
      </w:pPr>
      <w:r>
        <w:t>Fig. S2 | Parity plots for all 15 outputs. 图 S2 | 全部 15 个输出的一致性散点图。</w:t>
      </w:r>
    </w:p>
    <w:p>
      <w:r>
        <w:rPr>
          <w:rFonts w:ascii="Times New Roman" w:hAnsi="Times New Roman" w:eastAsia="微软雅黑"/>
          <w:i/>
          <w:color w:val="0055AA"/>
          <w:sz w:val="20"/>
        </w:rPr>
        <w:t>[Source: figures/bank/B1_stress_parity.png, figures/bank/B2_keff_parity.png, figures/bank/B3_thermal_parity.png]</w:t>
      </w:r>
    </w:p>
    <w:p>
      <w:r>
        <w:rPr>
          <w:rFonts w:ascii="Times New Roman" w:hAnsi="Times New Roman" w:eastAsia="微软雅黑"/>
        </w:rPr>
        <w:t>(a-c) Predicted versus true values for the 435 test samples, grouped by output category. (a) Coupled peak global stress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0.935). (b)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0.633). (c) Coupled thermal outputs (max fuel temperature, max monolith temperature). Shaded regions show the 90% predictive interval. Dashed line: y = x identity.</w:t>
      </w:r>
    </w:p>
    <w:p>
      <w:r>
        <w:rPr>
          <w:rFonts w:ascii="Times New Roman" w:hAnsi="Times New Roman" w:eastAsia="微软雅黑"/>
        </w:rPr>
        <w:t>(a-c) 435 个测试样本的预测值与真实值对比，按输出类别分组。 (a) 耦合峰值全局应力（</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0.935）。(b) 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 0.633）。 (c) 耦合热输出（最高燃料温度、最高一体化结构温度）。阴影区域为 90% 预测区间。虚线为 y = x 恒等线。</w:t>
      </w:r>
    </w:p>
    <w:p>
      <w:r>
        <w:rPr>
          <w:rFonts w:ascii="Times New Roman" w:hAnsi="Times New Roman" w:eastAsia="微软雅黑"/>
          <w:i/>
          <w:color w:val="0055AA"/>
          <w:sz w:val="20"/>
        </w:rPr>
        <w:t>[TO GENERATE: expand to all 15 outputs in multi-panel figure]</w:t>
      </w:r>
    </w:p>
    <w:p>
      <w:pPr>
        <w:pStyle w:val="Heading2"/>
      </w:pPr>
      <w:r>
        <w:t>Fig. S3 | Probability integral transform (PIT) histograms. 图 S3 | 概率积分变换（PIT）直方图。</w:t>
      </w:r>
    </w:p>
    <w:p>
      <w:r>
        <w:rPr>
          <w:rFonts w:ascii="Times New Roman" w:hAnsi="Times New Roman" w:eastAsia="微软雅黑"/>
          <w:i/>
          <w:color w:val="0055AA"/>
          <w:sz w:val="20"/>
        </w:rPr>
        <w:t>[Source: results/accuracy/pit_bnn-baseline.png, results/accuracy/pit_bnn-data-mono-ineq.png]</w:t>
      </w:r>
    </w:p>
    <w:p>
      <w:r>
        <w:rPr>
          <w:rFonts w:ascii="Times New Roman" w:hAnsi="Times New Roman" w:eastAsia="微软雅黑"/>
        </w:rPr>
        <w:t>PIT histograms for the reference surrogate (a) and the physics- regularized BNN (b) across the five primary outputs. A uniform PIT distribution indicates well-calibrated predictive intervals. The physics-regularized BNN shows slightly improved calibration relative to the reference.</w:t>
      </w:r>
    </w:p>
    <w:p>
      <w:r>
        <w:rPr>
          <w:rFonts w:ascii="Times New Roman" w:hAnsi="Times New Roman" w:eastAsia="微软雅黑"/>
        </w:rPr>
        <w:t>参考代理 (a) 和物理正则化 BNN (b) 在五个主要输出上的 PIT 直方图。均匀的 PIT 分布表示预测区间校准良好。物理正则化 BNN 相对于参考代理表现出略有改善的校准特性。</w:t>
      </w:r>
    </w:p>
    <w:p>
      <w:pPr>
        <w:pStyle w:val="Heading2"/>
      </w:pPr>
      <w:r>
        <w:t>Fig. S4 | Training curves. 图 S4 | 训练曲线。</w:t>
      </w:r>
    </w:p>
    <w:p>
      <w:r>
        <w:rPr>
          <w:rFonts w:ascii="Times New Roman" w:hAnsi="Times New Roman" w:eastAsia="微软雅黑"/>
          <w:i/>
          <w:color w:val="0055AA"/>
          <w:sz w:val="20"/>
        </w:rPr>
        <w:t>[TO GENERATE from training logs]</w:t>
      </w:r>
    </w:p>
    <w:p>
      <w:r>
        <w:rPr>
          <w:rFonts w:ascii="Times New Roman" w:hAnsi="Times New Roman" w:eastAsia="微软雅黑"/>
        </w:rPr>
        <w:t>(a) ELBO loss versus epoch for the physics-regularized BNN. (b) KL divergence component. (c) Negative log-likelihood component. (d) Monotonicity loss component. The KL annealing schedule transitions from 0 to full weight over the first 100 epochs.</w:t>
      </w:r>
    </w:p>
    <w:p>
      <w:r>
        <w:rPr>
          <w:rFonts w:ascii="Times New Roman" w:hAnsi="Times New Roman" w:eastAsia="微软雅黑"/>
        </w:rPr>
        <w:t>(a) 物理正则化 BNN 的 ELBO 损失随训练轮次变化。(b) KL 散度分量。 (c) 负对数似然分量。(d) 单调性损失分量。KL 退火策略在前 100 轮从 0 线性过渡到完整权重。</w:t>
      </w:r>
    </w:p>
    <w:p>
      <w:pPr>
        <w:pStyle w:val="Heading2"/>
      </w:pPr>
      <w:r>
        <w:t>Fig. S5 | Out-of-distribution (OOD) coverage comparison. 图 S5 | 分布外（OOD）覆盖率对比。</w:t>
      </w:r>
    </w:p>
    <w:p>
      <w:r>
        <w:rPr>
          <w:rFonts w:ascii="Times New Roman" w:hAnsi="Times New Roman" w:eastAsia="微软雅黑"/>
          <w:i/>
          <w:color w:val="0055AA"/>
          <w:sz w:val="20"/>
        </w:rPr>
        <w:t>[Source: results/ood/ood_coverage_comparison.png]</w:t>
      </w:r>
    </w:p>
    <w:p>
      <w:r>
        <w:rPr>
          <w:rFonts w:ascii="Times New Roman" w:hAnsi="Times New Roman" w:eastAsia="微软雅黑"/>
        </w:rPr>
        <w:t xml:space="preserve">90% predictive interval coverage for in-distribution versus four feature-tail subsets. Stress retains coverage above 0.75 across all tails.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coverage degrades substantially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drops to approximately 0.29), indicating that the Sobol and posterior conclusions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valid only within the training range of this dominant parameter.</w:t>
      </w:r>
    </w:p>
    <w:p>
      <w:r>
        <w:rPr>
          <w:rFonts w:ascii="Times New Roman" w:hAnsi="Times New Roman" w:eastAsia="微软雅黑"/>
        </w:rPr>
        <w:t>分布内与四个特征尾部子集的 90% 预测区间覆盖率。应力在所有尾部均保持覆盖率高于 0.75。</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覆盖率在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尾部显著下降（</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从分布内的 0.825 降至约 0.29），表明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 Sobol 和后验结论仅在该主导参数的训练范围内成立。</w:t>
      </w:r>
    </w:p>
    <w:p>
      <w:pPr>
        <w:pStyle w:val="Heading2"/>
      </w:pPr>
      <w:r>
        <w:t>Fig. S6 | Epistemic uncertainty ratio under distribution shift. 图 S6 | 分布偏移下的认知不确定性比。</w:t>
      </w:r>
    </w:p>
    <w:p>
      <w:r>
        <w:rPr>
          <w:rFonts w:ascii="Times New Roman" w:hAnsi="Times New Roman" w:eastAsia="微软雅黑"/>
          <w:i/>
          <w:color w:val="0055AA"/>
          <w:sz w:val="20"/>
        </w:rPr>
        <w:t>[Source: results/ood/ood_epistemic_ratio.png]</w:t>
      </w:r>
    </w:p>
    <w:p>
      <w:r>
        <w:rPr>
          <w:rFonts w:ascii="Times New Roman" w:hAnsi="Times New Roman" w:eastAsia="微软雅黑"/>
        </w:rPr>
        <w:t xml:space="preserve">Ratio of epistemic to total predictive variance for in-distribution versus OOD tail subsets. Elevated epistemic ratios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confirm that the BNN correctly signals increased model uncertainty outside the training domain.</w:t>
      </w:r>
    </w:p>
    <w:p>
      <w:r>
        <w:rPr>
          <w:rFonts w:ascii="Times New Roman" w:hAnsi="Times New Roman" w:eastAsia="微软雅黑"/>
        </w:rPr>
        <w:t>分布内与 OOD 尾部子集的认知方差与总预测方差之比。</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尾部认知比升高，确认 BNN 在训练域外正确发出了模型不确定性增加的信号。</w:t>
      </w:r>
    </w:p>
    <w:p>
      <w:pPr>
        <w:pStyle w:val="Heading2"/>
      </w:pPr>
      <w:r>
        <w:t>Fig. S7 | Sobol index convergence with sample size. 图 S7 | Sobol 指标随样本量的收敛。</w:t>
      </w:r>
    </w:p>
    <w:p>
      <w:r>
        <w:rPr>
          <w:rFonts w:ascii="Times New Roman" w:hAnsi="Times New Roman" w:eastAsia="微软雅黑"/>
          <w:i/>
          <w:color w:val="0055AA"/>
          <w:sz w:val="20"/>
        </w:rPr>
        <w:t>[Source: results/sensitivity/sobol_convergence_bnn-phy-mono_stress.png, results/sensitivity/sobol_convergence_bnn-phy-mono_keff.png]</w:t>
      </w:r>
    </w:p>
    <w:p>
      <w:r>
        <w:rPr>
          <w:rFonts w:ascii="Times New Roman" w:hAnsi="Times New Roman" w:eastAsia="微软雅黑"/>
        </w:rPr>
        <w:t xml:space="preserve">(a,b) First-order Sobol index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as a function of sample size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(256 to 4096) for stress (a)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(b), with 90% CI bands across 50 replications. Indices stabilise by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2048, confirming convergence at the chosen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w:t>
      </w:r>
    </w:p>
    <w:p>
      <w:r>
        <w:rPr>
          <w:rFonts w:ascii="Times New Roman" w:hAnsi="Times New Roman" w:eastAsia="微软雅黑"/>
        </w:rPr>
        <w:t xml:space="preserve">(a,b) 应力 (a) 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(b) 的一阶 Sobol 指标 </w:t>
      </w:r>
      <w:r>
        <w:rPr>
          <w:rFonts w:ascii="Times New Roman" w:hAnsi="Times New Roman" w:eastAsia="微软雅黑"/>
          <w:i/>
        </w:rPr>
        <w:t>S</w:t>
      </w:r>
      <w:r>
        <w:rPr>
          <w:rFonts w:ascii="Times New Roman" w:hAnsi="Times New Roman" w:eastAsia="微软雅黑"/>
          <w:vertAlign w:val="subscript"/>
        </w:rPr>
        <w:t>1</w:t>
      </w:r>
      <w:r>
        <w:rPr>
          <w:rFonts w:ascii="Times New Roman" w:hAnsi="Times New Roman" w:eastAsia="微软雅黑"/>
        </w:rPr>
        <w:t xml:space="preserve"> 随样本量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（256 至 4096）的变化，含 50 次重复的 90% CI 带。指标在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2048 时稳定，确认在所选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处已收敛。</w:t>
      </w:r>
    </w:p>
    <w:p>
      <w:pPr>
        <w:pStyle w:val="Heading2"/>
      </w:pPr>
      <w:r>
        <w:t>Fig. S8 | Coupled versus decoupled output distributions. 图 S8 | 耦合与解耦输出分布对比。</w:t>
      </w:r>
    </w:p>
    <w:p>
      <w:r>
        <w:rPr>
          <w:rFonts w:ascii="Times New Roman" w:hAnsi="Times New Roman" w:eastAsia="微软雅黑"/>
          <w:i/>
          <w:color w:val="0055AA"/>
          <w:sz w:val="20"/>
        </w:rPr>
        <w:t>[Source: figures/bank/C1_stress_coupling.png, figures/bank/C2_keff_distribution.png]</w:t>
      </w:r>
    </w:p>
    <w:p>
      <w:r>
        <w:rPr>
          <w:rFonts w:ascii="Times New Roman" w:hAnsi="Times New Roman" w:eastAsia="微软雅黑"/>
        </w:rPr>
        <w:t xml:space="preserve">(a) Histogram comparison of coupled and decoupled stress distributions from 20,000 LHS samples. Coupling shifts the mean downward by approximately 40 MPa and narrows the standard deviation by approximately 28%. (b)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distribution: the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all variability originates from thermal-expansion feedback on core geometry.</w:t>
      </w:r>
    </w:p>
    <w:p>
      <w:r>
        <w:rPr>
          <w:rFonts w:ascii="Times New Roman" w:hAnsi="Times New Roman" w:eastAsia="微软雅黑"/>
        </w:rPr>
        <w:t xml:space="preserve">(a) 20,000 个 LHS 样本的耦合与解耦应力分布直方图对比。耦合使均值下移约 40 MPa，标准差收窄约 28%。(b)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分布：解耦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几乎恒定；全部变异源自热膨胀对堆芯几何的反馈。</w:t>
      </w:r>
    </w:p>
    <w:p>
      <w:pPr>
        <w:pStyle w:val="Heading2"/>
      </w:pPr>
      <w:r>
        <w:t>Fig. S9 | MCMC trace plots (representative cases). 图 S9 | MCMC 轨迹图（代表性算例）。</w:t>
      </w:r>
    </w:p>
    <w:p>
      <w:r>
        <w:rPr>
          <w:rFonts w:ascii="Times New Roman" w:hAnsi="Times New Roman" w:eastAsia="微软雅黑"/>
          <w:i/>
          <w:color w:val="0055AA"/>
          <w:sz w:val="20"/>
        </w:rPr>
        <w:t>[Source: results/posterior/trace_bnn-phy-mono_case00.png, results/posterior/trace_bnn-phy-mono_case06.png, results/posterior/trace_bnn-phy-mono_case12.png]</w:t>
      </w:r>
    </w:p>
    <w:p>
      <w:r>
        <w:rPr>
          <w:rFonts w:ascii="Times New Roman" w:hAnsi="Times New Roman" w:eastAsia="微软雅黑"/>
        </w:rPr>
        <w:t>Trace plots for three representative benchmark cases spanning low (case 0), near-threshold (case 6), and high stress (case 12). Each panel shows the four calibrated parameters across 4 independent chains (8000 iterations, first 2000 discarded as burn-in). Visual mixing and stationarity support convergence.</w:t>
      </w:r>
    </w:p>
    <w:p>
      <w:r>
        <w:rPr>
          <w:rFonts w:ascii="Times New Roman" w:hAnsi="Times New Roman" w:eastAsia="微软雅黑"/>
        </w:rPr>
        <w:t>三个代表性基准算例的轨迹图，跨越低应力（算例 0）、阈值附近（算例 6）和高应力（算例 12）。每个面板显示 4 条独立链（8000 次迭代，前 2000 次作为预热丢弃）上的四个标定参数。目视混合性和平稳性支持收敛。</w:t>
      </w:r>
    </w:p>
    <w:p>
      <w:pPr>
        <w:pStyle w:val="Heading2"/>
      </w:pPr>
      <w:r>
        <w:t>Fig. S10 | Prior versus posterior marginal distributions. 图 S10 | 先验与后验边缘分布。</w:t>
      </w:r>
    </w:p>
    <w:p>
      <w:r>
        <w:rPr>
          <w:rFonts w:ascii="Times New Roman" w:hAnsi="Times New Roman" w:eastAsia="微软雅黑"/>
          <w:i/>
          <w:color w:val="0055AA"/>
          <w:sz w:val="20"/>
        </w:rPr>
        <w:t>[Source: figures/bank/E1_prior_posterior.png]</w:t>
      </w:r>
    </w:p>
    <w:p>
      <w:r>
        <w:rPr>
          <w:rFonts w:ascii="Times New Roman" w:hAnsi="Times New Roman" w:eastAsia="微软雅黑"/>
        </w:rPr>
        <w:t xml:space="preserve">Prior (uniform, grey) versus posterior (coloured) marginal distributions for the four calibrated parameters, shown for six representative benchmark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 the strongest posterior contraction, consistent with their dominant Sobol indices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respectively.</w:t>
      </w:r>
    </w:p>
    <w:p>
      <w:r>
        <w:rPr>
          <w:rFonts w:ascii="Times New Roman" w:hAnsi="Times New Roman" w:eastAsia="微软雅黑"/>
        </w:rPr>
        <w:t>四个标定参数的先验（均匀，灰色）与后验（彩色）边缘分布，展示六个代表性基准算例。</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显示最强的后验收缩，与其分别对应力和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 Sobol 指标一致。</w:t>
      </w:r>
    </w:p>
    <w:p>
      <w:pPr>
        <w:pStyle w:val="Heading2"/>
      </w:pPr>
      <w:r>
        <w:t>Fig. S11 | Posterior predictive distributions. 图 S11 | 后验预测分布。</w:t>
      </w:r>
    </w:p>
    <w:p>
      <w:r>
        <w:rPr>
          <w:rFonts w:ascii="Times New Roman" w:hAnsi="Times New Roman" w:eastAsia="微软雅黑"/>
          <w:i/>
          <w:color w:val="0055AA"/>
          <w:sz w:val="20"/>
        </w:rPr>
        <w:t>[Source: figures/bank/E3_posterior_predictive.png]</w:t>
      </w:r>
    </w:p>
    <w:p>
      <w:r>
        <w:rPr>
          <w:rFonts w:ascii="Times New Roman" w:hAnsi="Times New Roman" w:eastAsia="微软雅黑"/>
        </w:rPr>
        <w:t>BNN-predicted stress distributions at the prior (blue) versus posterior (orange) parameter sets for representative benchmark cases. The posterior-predictive distribution concentrates around the observed true value (dashed line), demonstrating successful calibration.</w:t>
      </w:r>
    </w:p>
    <w:p>
      <w:r>
        <w:rPr>
          <w:rFonts w:ascii="Times New Roman" w:hAnsi="Times New Roman" w:eastAsia="微软雅黑"/>
        </w:rPr>
        <w:t>代表性基准算例在先验（蓝色）与后验（橙色）参数集处的 BNN 预测应力分布。后验预测分布集中在观测真实值（虚线）附近，表明标定成功。</w:t>
      </w:r>
    </w:p>
    <w:p>
      <w:pPr>
        <w:pStyle w:val="Heading2"/>
      </w:pPr>
      <w:r>
        <w:t>Fig. S12 | Posterior 90%-CI coverage summary. 图 S12 | 后验 90%-CI 覆盖率汇总。</w:t>
      </w:r>
    </w:p>
    <w:p>
      <w:r>
        <w:rPr>
          <w:rFonts w:ascii="Times New Roman" w:hAnsi="Times New Roman" w:eastAsia="微软雅黑"/>
          <w:i/>
          <w:color w:val="0055AA"/>
          <w:sz w:val="20"/>
        </w:rPr>
        <w:t>[Source: figures/bank/E2_posterior_coverage.png]</w:t>
      </w:r>
    </w:p>
    <w:p>
      <w:r>
        <w:rPr>
          <w:rFonts w:ascii="Times New Roman" w:hAnsi="Times New Roman" w:eastAsia="微软雅黑"/>
        </w:rPr>
        <w:t xml:space="preserve">Per-case and per-parameter 90%-CI coverage across all 18 benchmark cases. Overall coverage: 66/72 = 0.917. Cases with missed coverage are predominantly in the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parameter, which has the weakest Sobol sensitivity and is therefore least constrained by the observations.</w:t>
      </w:r>
    </w:p>
    <w:p>
      <w:r>
        <w:rPr>
          <w:rFonts w:ascii="Times New Roman" w:hAnsi="Times New Roman" w:eastAsia="微软雅黑"/>
        </w:rPr>
        <w:t xml:space="preserve">全部 18 个基准算例的逐算例和逐参数 90%-CI 覆盖率。总覆盖率：66/72 = 0.917。覆盖率缺失主要集中在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参数，该参数的 Sobol 敏感性最弱，因此受观测约束最少。</w:t>
      </w:r>
    </w:p>
    <w:p>
      <w:pPr>
        <w:pStyle w:val="Heading2"/>
      </w:pPr>
      <w:r>
        <w:t>Fig. S13 | Epistemic versus aleatoric variance decomposition. 图 S13 | 认知方差与随机方差分解。</w:t>
      </w:r>
    </w:p>
    <w:p>
      <w:r>
        <w:rPr>
          <w:rFonts w:ascii="Times New Roman" w:hAnsi="Times New Roman" w:eastAsia="微软雅黑"/>
          <w:i/>
          <w:color w:val="0055AA"/>
          <w:sz w:val="20"/>
        </w:rPr>
        <w:t>[Source: results/uncertainty_decomposition/epi_vs_ale_scatter_bnn-phy-mono.png]</w:t>
      </w:r>
    </w:p>
    <w:p>
      <w:r>
        <w:rPr>
          <w:rFonts w:ascii="Times New Roman" w:hAnsi="Times New Roman" w:eastAsia="微软雅黑"/>
        </w:rPr>
        <w:t xml:space="preserve">Scatter plot of epistemic (weight-uncertainty) versus aleatoric (observation-noise) variance for each of the 435 test samples. Stress is dominated by aleatoric variance (the model is confident in its mean prediction), while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shows elevated epistemic variance reflecting the more limited training signal.</w:t>
      </w:r>
    </w:p>
    <w:p>
      <w:r>
        <w:rPr>
          <w:rFonts w:ascii="Times New Roman" w:hAnsi="Times New Roman" w:eastAsia="微软雅黑"/>
        </w:rPr>
        <w:t xml:space="preserve">435 个测试样本的认知（权重不确定性）方差与随机（观测噪声）方差散点图。应力以随机方差为主（模型对其均值预测较有信心），而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显示出较高的认知方差，反映了训练信号的局限性。</w:t>
      </w:r>
    </w:p>
    <w:p>
      <w:pPr>
        <w:pStyle w:val="Heading1"/>
      </w:pPr>
      <w:r>
        <w:t>II. Supplementary Tables / 补充表</w:t>
      </w:r>
    </w:p>
    <w:p>
      <w:pPr>
        <w:pStyle w:val="Heading2"/>
      </w:pPr>
      <w:r>
        <w:t>Table S1 | Material parameters: definitions, nominal values, and priors. 表 S1 | 材料参数：定义、标称值和先验。</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微软雅黑"/>
                <w:b/>
              </w:rPr>
              <w:t>Parameter</w:t>
            </w:r>
          </w:p>
        </w:tc>
        <w:tc>
          <w:tcPr>
            <w:tcW w:type="dxa" w:w="1728"/>
          </w:tcPr>
          <w:p>
            <w:r>
              <w:rPr>
                <w:rFonts w:ascii="Times New Roman" w:hAnsi="Times New Roman" w:eastAsia="微软雅黑"/>
                <w:b/>
              </w:rPr>
              <w:t>Symbol</w:t>
            </w:r>
          </w:p>
        </w:tc>
        <w:tc>
          <w:tcPr>
            <w:tcW w:type="dxa" w:w="1728"/>
          </w:tcPr>
          <w:p>
            <w:r>
              <w:rPr>
                <w:rFonts w:ascii="Times New Roman" w:hAnsi="Times New Roman" w:eastAsia="微软雅黑"/>
                <w:b/>
              </w:rPr>
              <w:t>Nominal value</w:t>
            </w:r>
          </w:p>
        </w:tc>
        <w:tc>
          <w:tcPr>
            <w:tcW w:type="dxa" w:w="1728"/>
          </w:tcPr>
          <w:p>
            <w:r>
              <w:rPr>
                <w:rFonts w:ascii="Times New Roman" w:hAnsi="Times New Roman" w:eastAsia="微软雅黑"/>
                <w:b/>
              </w:rPr>
              <w:t>Unit</w:t>
            </w:r>
          </w:p>
        </w:tc>
        <w:tc>
          <w:tcPr>
            <w:tcW w:type="dxa" w:w="1728"/>
          </w:tcPr>
          <w:p>
            <w:r>
              <w:rPr>
                <w:rFonts w:ascii="Times New Roman" w:hAnsi="Times New Roman" w:eastAsia="微软雅黑"/>
                <w:b/>
              </w:rPr>
              <w:t>Prior range (+-10%)</w:t>
            </w:r>
          </w:p>
        </w:tc>
      </w:tr>
      <w:tr>
        <w:tc>
          <w:tcPr>
            <w:tcW w:type="dxa" w:w="1728"/>
          </w:tcPr>
          <w:p>
            <w:r>
              <w:rPr>
                <w:rFonts w:ascii="Times New Roman" w:hAnsi="Times New Roman" w:eastAsia="微软雅黑"/>
              </w:rPr>
              <w:t>Young's mod.</w:t>
            </w:r>
          </w:p>
        </w:tc>
        <w:tc>
          <w:tcPr>
            <w:tcW w:type="dxa" w:w="1728"/>
          </w:tcPr>
          <w:p>
            <w:r>
              <w:rPr>
                <w:rFonts w:ascii="Times New Roman" w:hAnsi="Times New Roman" w:eastAsia="微软雅黑"/>
                <w:i/>
              </w:rPr>
              <w:t>E</w:t>
            </w:r>
            <w:r>
              <w:rPr>
                <w:rFonts w:ascii="Times New Roman" w:hAnsi="Times New Roman" w:eastAsia="微软雅黑"/>
                <w:vertAlign w:val="subscript"/>
              </w:rPr>
              <w:t>intercept</w:t>
            </w:r>
          </w:p>
        </w:tc>
        <w:tc>
          <w:tcPr>
            <w:tcW w:type="dxa" w:w="1728"/>
          </w:tcPr>
          <w:p>
            <w:r>
              <w:rPr>
                <w:rFonts w:ascii="Times New Roman" w:hAnsi="Times New Roman" w:eastAsia="微软雅黑"/>
              </w:rPr>
              <w:t xml:space="preserve">2 x </w:t>
            </w:r>
            <w:r>
              <w:rPr>
                <w:rFonts w:ascii="Times New Roman" w:hAnsi="Times New Roman" w:eastAsia="微软雅黑"/>
              </w:rPr>
              <w:t>10</w:t>
            </w:r>
            <w:r>
              <w:rPr>
                <w:rFonts w:ascii="Times New Roman" w:hAnsi="Times New Roman" w:eastAsia="微软雅黑"/>
                <w:vertAlign w:val="superscript"/>
              </w:rPr>
              <w:t>11</w:t>
            </w:r>
          </w:p>
        </w:tc>
        <w:tc>
          <w:tcPr>
            <w:tcW w:type="dxa" w:w="1728"/>
          </w:tcPr>
          <w:p>
            <w:r>
              <w:rPr>
                <w:rFonts w:ascii="Times New Roman" w:hAnsi="Times New Roman" w:eastAsia="微软雅黑"/>
              </w:rPr>
              <w:t>Pa</w:t>
            </w:r>
          </w:p>
        </w:tc>
        <w:tc>
          <w:tcPr>
            <w:tcW w:type="dxa" w:w="1728"/>
          </w:tcPr>
          <w:p>
            <w:r>
              <w:rPr>
                <w:rFonts w:ascii="Times New Roman" w:hAnsi="Times New Roman" w:eastAsia="微软雅黑"/>
              </w:rPr>
              <w:t xml:space="preserve">[1.8, 2.2] x </w:t>
            </w:r>
            <w:r>
              <w:rPr>
                <w:rFonts w:ascii="Times New Roman" w:hAnsi="Times New Roman" w:eastAsia="微软雅黑"/>
              </w:rPr>
              <w:t>10</w:t>
            </w:r>
            <w:r>
              <w:rPr>
                <w:rFonts w:ascii="Times New Roman" w:hAnsi="Times New Roman" w:eastAsia="微软雅黑"/>
                <w:vertAlign w:val="superscript"/>
              </w:rPr>
              <w:t>11</w:t>
            </w:r>
          </w:p>
        </w:tc>
      </w:tr>
      <w:tr>
        <w:tc>
          <w:tcPr>
            <w:tcW w:type="dxa" w:w="1728"/>
          </w:tcPr>
          <w:p>
            <w:r>
              <w:rPr>
                <w:rFonts w:ascii="Times New Roman" w:hAnsi="Times New Roman" w:eastAsia="微软雅黑"/>
              </w:rPr>
              <w:t>intercept</w:t>
            </w:r>
          </w:p>
        </w:tc>
        <w:tc>
          <w:tcPr>
            <w:tcW w:type="dxa" w:w="1728"/>
          </w:tcPr>
          <w:p/>
        </w:tc>
        <w:tc>
          <w:tcPr>
            <w:tcW w:type="dxa" w:w="1728"/>
          </w:tcPr>
          <w:p/>
        </w:tc>
        <w:tc>
          <w:tcPr>
            <w:tcW w:type="dxa" w:w="1728"/>
          </w:tcPr>
          <w:p/>
        </w:tc>
        <w:tc>
          <w:tcPr>
            <w:tcW w:type="dxa" w:w="1728"/>
          </w:tcPr>
          <w:p/>
        </w:tc>
      </w:tr>
      <w:tr>
        <w:tc>
          <w:tcPr>
            <w:tcW w:type="dxa" w:w="1728"/>
          </w:tcPr>
          <w:p>
            <w:r>
              <w:rPr>
                <w:rFonts w:ascii="Times New Roman" w:hAnsi="Times New Roman" w:eastAsia="微软雅黑"/>
              </w:rPr>
              <w:t>Young's mod.</w:t>
            </w:r>
          </w:p>
        </w:tc>
        <w:tc>
          <w:tcPr>
            <w:tcW w:type="dxa" w:w="1728"/>
          </w:tcPr>
          <w:p>
            <w:r>
              <w:rPr>
                <w:rFonts w:ascii="Times New Roman" w:hAnsi="Times New Roman" w:eastAsia="微软雅黑"/>
                <w:i/>
              </w:rPr>
              <w:t>E</w:t>
            </w:r>
            <w:r>
              <w:rPr>
                <w:rFonts w:ascii="Times New Roman" w:hAnsi="Times New Roman" w:eastAsia="微软雅黑"/>
                <w:vertAlign w:val="subscript"/>
              </w:rPr>
              <w:t>slope</w:t>
            </w:r>
          </w:p>
        </w:tc>
        <w:tc>
          <w:tcPr>
            <w:tcW w:type="dxa" w:w="1728"/>
          </w:tcPr>
          <w:p>
            <w:r>
              <w:rPr>
                <w:rFonts w:ascii="Times New Roman" w:hAnsi="Times New Roman" w:eastAsia="微软雅黑"/>
              </w:rPr>
              <w:t xml:space="preserve">-7 x </w:t>
            </w:r>
            <w:r>
              <w:rPr>
                <w:rFonts w:ascii="Times New Roman" w:hAnsi="Times New Roman" w:eastAsia="微软雅黑"/>
              </w:rPr>
              <w:t>10</w:t>
            </w:r>
            <w:r>
              <w:rPr>
                <w:rFonts w:ascii="Times New Roman" w:hAnsi="Times New Roman" w:eastAsia="微软雅黑"/>
                <w:vertAlign w:val="superscript"/>
              </w:rPr>
              <w:t>7</w:t>
            </w:r>
          </w:p>
        </w:tc>
        <w:tc>
          <w:tcPr>
            <w:tcW w:type="dxa" w:w="1728"/>
          </w:tcPr>
          <w:p>
            <w:r>
              <w:rPr>
                <w:rFonts w:ascii="Times New Roman" w:hAnsi="Times New Roman" w:eastAsia="微软雅黑"/>
              </w:rPr>
              <w:t>Pa/K</w:t>
            </w:r>
          </w:p>
        </w:tc>
        <w:tc>
          <w:tcPr>
            <w:tcW w:type="dxa" w:w="1728"/>
          </w:tcPr>
          <w:p>
            <w:r>
              <w:rPr>
                <w:rFonts w:ascii="Times New Roman" w:hAnsi="Times New Roman" w:eastAsia="微软雅黑"/>
              </w:rPr>
              <w:t xml:space="preserve">[-7.7, -6.3] x </w:t>
            </w:r>
            <w:r>
              <w:rPr>
                <w:rFonts w:ascii="Times New Roman" w:hAnsi="Times New Roman" w:eastAsia="微软雅黑"/>
              </w:rPr>
              <w:t>10</w:t>
            </w:r>
            <w:r>
              <w:rPr>
                <w:rFonts w:ascii="Times New Roman" w:hAnsi="Times New Roman" w:eastAsia="微软雅黑"/>
                <w:vertAlign w:val="superscript"/>
              </w:rPr>
              <w:t>7</w:t>
            </w:r>
          </w:p>
        </w:tc>
      </w:tr>
      <w:tr>
        <w:tc>
          <w:tcPr>
            <w:tcW w:type="dxa" w:w="1728"/>
          </w:tcPr>
          <w:p>
            <w:r>
              <w:rPr>
                <w:rFonts w:ascii="Times New Roman" w:hAnsi="Times New Roman" w:eastAsia="微软雅黑"/>
              </w:rPr>
              <w:t>slope</w:t>
            </w:r>
          </w:p>
        </w:tc>
        <w:tc>
          <w:tcPr>
            <w:tcW w:type="dxa" w:w="1728"/>
          </w:tcPr>
          <w:p/>
        </w:tc>
        <w:tc>
          <w:tcPr>
            <w:tcW w:type="dxa" w:w="1728"/>
          </w:tcPr>
          <w:p/>
        </w:tc>
        <w:tc>
          <w:tcPr>
            <w:tcW w:type="dxa" w:w="1728"/>
          </w:tcPr>
          <w:p/>
        </w:tc>
        <w:tc>
          <w:tcPr>
            <w:tcW w:type="dxa" w:w="1728"/>
          </w:tcPr>
          <w:p/>
        </w:tc>
      </w:tr>
      <w:tr>
        <w:tc>
          <w:tcPr>
            <w:tcW w:type="dxa" w:w="1728"/>
          </w:tcPr>
          <w:p>
            <w:r>
              <w:rPr>
                <w:rFonts w:ascii="Times New Roman" w:hAnsi="Times New Roman" w:eastAsia="微软雅黑"/>
              </w:rPr>
              <w:t>Poisson's</w:t>
            </w:r>
          </w:p>
        </w:tc>
        <w:tc>
          <w:tcPr>
            <w:tcW w:type="dxa" w:w="1728"/>
          </w:tcPr>
          <w:p>
            <w:r>
              <w:rPr>
                <w:rFonts w:ascii="Times New Roman" w:hAnsi="Times New Roman" w:eastAsia="微软雅黑"/>
              </w:rPr>
              <w:t>nu</w:t>
            </w:r>
          </w:p>
        </w:tc>
        <w:tc>
          <w:tcPr>
            <w:tcW w:type="dxa" w:w="1728"/>
          </w:tcPr>
          <w:p>
            <w:r>
              <w:rPr>
                <w:rFonts w:ascii="Times New Roman" w:hAnsi="Times New Roman" w:eastAsia="微软雅黑"/>
              </w:rPr>
              <w:t>0.31</w:t>
            </w:r>
          </w:p>
        </w:tc>
        <w:tc>
          <w:tcPr>
            <w:tcW w:type="dxa" w:w="1728"/>
          </w:tcPr>
          <w:p>
            <w:r>
              <w:rPr>
                <w:rFonts w:ascii="Times New Roman" w:hAnsi="Times New Roman" w:eastAsia="微软雅黑"/>
              </w:rPr>
              <w:t>-</w:t>
            </w:r>
          </w:p>
        </w:tc>
        <w:tc>
          <w:tcPr>
            <w:tcW w:type="dxa" w:w="1728"/>
          </w:tcPr>
          <w:p>
            <w:r>
              <w:rPr>
                <w:rFonts w:ascii="Times New Roman" w:hAnsi="Times New Roman" w:eastAsia="微软雅黑"/>
              </w:rPr>
              <w:t>[0.279, 0.341]</w:t>
            </w:r>
          </w:p>
        </w:tc>
      </w:tr>
      <w:tr>
        <w:tc>
          <w:tcPr>
            <w:tcW w:type="dxa" w:w="1728"/>
          </w:tcPr>
          <w:p>
            <w:r>
              <w:rPr>
                <w:rFonts w:ascii="Times New Roman" w:hAnsi="Times New Roman" w:eastAsia="微软雅黑"/>
              </w:rPr>
              <w:t>ratio</w:t>
            </w:r>
          </w:p>
        </w:tc>
        <w:tc>
          <w:tcPr>
            <w:tcW w:type="dxa" w:w="1728"/>
          </w:tcPr>
          <w:p/>
        </w:tc>
        <w:tc>
          <w:tcPr>
            <w:tcW w:type="dxa" w:w="1728"/>
          </w:tcPr>
          <w:p/>
        </w:tc>
        <w:tc>
          <w:tcPr>
            <w:tcW w:type="dxa" w:w="1728"/>
          </w:tcPr>
          <w:p/>
        </w:tc>
        <w:tc>
          <w:tcPr>
            <w:tcW w:type="dxa" w:w="1728"/>
          </w:tcPr>
          <w:p/>
        </w:tc>
      </w:tr>
      <w:tr>
        <w:tc>
          <w:tcPr>
            <w:tcW w:type="dxa" w:w="1728"/>
          </w:tcPr>
          <w:p>
            <w:r>
              <w:rPr>
                <w:rFonts w:ascii="Times New Roman" w:hAnsi="Times New Roman" w:eastAsia="微软雅黑"/>
              </w:rPr>
              <w:t>CTE base</w:t>
            </w:r>
          </w:p>
        </w:tc>
        <w:tc>
          <w:tcPr>
            <w:tcW w:type="dxa" w:w="1728"/>
          </w:tcPr>
          <w:p>
            <w:r>
              <w:rPr>
                <w:rFonts w:ascii="Times New Roman" w:hAnsi="Times New Roman" w:eastAsia="微软雅黑"/>
                <w:i w:val="0"/>
              </w:rPr>
              <w:t>α</w:t>
            </w:r>
            <w:r>
              <w:rPr>
                <w:rFonts w:ascii="Times New Roman" w:hAnsi="Times New Roman" w:eastAsia="微软雅黑"/>
                <w:vertAlign w:val="subscript"/>
              </w:rPr>
              <w:t>base</w:t>
            </w:r>
          </w:p>
        </w:tc>
        <w:tc>
          <w:tcPr>
            <w:tcW w:type="dxa" w:w="1728"/>
          </w:tcPr>
          <w:p>
            <w:r>
              <w:rPr>
                <w:rFonts w:ascii="Times New Roman" w:hAnsi="Times New Roman" w:eastAsia="微软雅黑"/>
              </w:rPr>
              <w:t xml:space="preserve">1 x </w:t>
            </w:r>
            <w:r>
              <w:rPr>
                <w:rFonts w:ascii="Times New Roman" w:hAnsi="Times New Roman" w:eastAsia="微软雅黑"/>
              </w:rPr>
              <w:t>10</w:t>
            </w:r>
            <w:r>
              <w:rPr>
                <w:rFonts w:ascii="Times New Roman" w:hAnsi="Times New Roman" w:eastAsia="微软雅黑"/>
                <w:vertAlign w:val="superscript"/>
              </w:rPr>
              <w:t>-5</w:t>
            </w:r>
          </w:p>
        </w:tc>
        <w:tc>
          <w:tcPr>
            <w:tcW w:type="dxa" w:w="1728"/>
          </w:tcPr>
          <w:p>
            <w:r>
              <w:rPr>
                <w:rFonts w:ascii="Times New Roman" w:hAnsi="Times New Roman" w:eastAsia="微软雅黑"/>
              </w:rPr>
              <w:t>1/K</w:t>
            </w:r>
          </w:p>
        </w:tc>
        <w:tc>
          <w:tcPr>
            <w:tcW w:type="dxa" w:w="1728"/>
          </w:tcPr>
          <w:p>
            <w:r>
              <w:rPr>
                <w:rFonts w:ascii="Times New Roman" w:hAnsi="Times New Roman" w:eastAsia="微软雅黑"/>
              </w:rPr>
              <w:t xml:space="preserve">[0.9, 1.1] x </w:t>
            </w:r>
            <w:r>
              <w:rPr>
                <w:rFonts w:ascii="Times New Roman" w:hAnsi="Times New Roman" w:eastAsia="微软雅黑"/>
              </w:rPr>
              <w:t>10</w:t>
            </w:r>
            <w:r>
              <w:rPr>
                <w:rFonts w:ascii="Times New Roman" w:hAnsi="Times New Roman" w:eastAsia="微软雅黑"/>
                <w:vertAlign w:val="superscript"/>
              </w:rPr>
              <w:t>-5</w:t>
            </w:r>
          </w:p>
        </w:tc>
      </w:tr>
      <w:tr>
        <w:tc>
          <w:tcPr>
            <w:tcW w:type="dxa" w:w="1728"/>
          </w:tcPr>
          <w:p>
            <w:r>
              <w:rPr>
                <w:rFonts w:ascii="Times New Roman" w:hAnsi="Times New Roman" w:eastAsia="微软雅黑"/>
              </w:rPr>
              <w:t>CTE slope</w:t>
            </w:r>
          </w:p>
        </w:tc>
        <w:tc>
          <w:tcPr>
            <w:tcW w:type="dxa" w:w="1728"/>
          </w:tcPr>
          <w:p>
            <w:r>
              <w:rPr>
                <w:rFonts w:ascii="Times New Roman" w:hAnsi="Times New Roman" w:eastAsia="微软雅黑"/>
                <w:i w:val="0"/>
              </w:rPr>
              <w:t>α</w:t>
            </w:r>
            <w:r>
              <w:rPr>
                <w:rFonts w:ascii="Times New Roman" w:hAnsi="Times New Roman" w:eastAsia="微软雅黑"/>
                <w:vertAlign w:val="subscript"/>
              </w:rPr>
              <w:t>slope</w:t>
            </w:r>
          </w:p>
        </w:tc>
        <w:tc>
          <w:tcPr>
            <w:tcW w:type="dxa" w:w="1728"/>
          </w:tcPr>
          <w:p>
            <w:r>
              <w:rPr>
                <w:rFonts w:ascii="Times New Roman" w:hAnsi="Times New Roman" w:eastAsia="微软雅黑"/>
              </w:rPr>
              <w:t xml:space="preserve">5 x </w:t>
            </w:r>
            <w:r>
              <w:rPr>
                <w:rFonts w:ascii="Times New Roman" w:hAnsi="Times New Roman" w:eastAsia="微软雅黑"/>
              </w:rPr>
              <w:t>10</w:t>
            </w:r>
            <w:r>
              <w:rPr>
                <w:rFonts w:ascii="Times New Roman" w:hAnsi="Times New Roman" w:eastAsia="微软雅黑"/>
                <w:vertAlign w:val="superscript"/>
              </w:rPr>
              <w:t>-9</w:t>
            </w:r>
          </w:p>
        </w:tc>
        <w:tc>
          <w:tcPr>
            <w:tcW w:type="dxa" w:w="1728"/>
          </w:tcPr>
          <w:p>
            <w:r>
              <w:rPr>
                <w:rFonts w:ascii="Times New Roman" w:hAnsi="Times New Roman" w:eastAsia="微软雅黑"/>
              </w:rPr>
              <w:t>1/K^2</w:t>
            </w:r>
          </w:p>
        </w:tc>
        <w:tc>
          <w:tcPr>
            <w:tcW w:type="dxa" w:w="1728"/>
          </w:tcPr>
          <w:p>
            <w:r>
              <w:rPr>
                <w:rFonts w:ascii="Times New Roman" w:hAnsi="Times New Roman" w:eastAsia="微软雅黑"/>
              </w:rPr>
              <w:t xml:space="preserve">[4.5, 5.5] x </w:t>
            </w:r>
            <w:r>
              <w:rPr>
                <w:rFonts w:ascii="Times New Roman" w:hAnsi="Times New Roman" w:eastAsia="微软雅黑"/>
              </w:rPr>
              <w:t>10</w:t>
            </w:r>
            <w:r>
              <w:rPr>
                <w:rFonts w:ascii="Times New Roman" w:hAnsi="Times New Roman" w:eastAsia="微软雅黑"/>
                <w:vertAlign w:val="superscript"/>
              </w:rPr>
              <w:t>-9</w:t>
            </w:r>
          </w:p>
        </w:tc>
      </w:tr>
      <w:tr>
        <w:tc>
          <w:tcPr>
            <w:tcW w:type="dxa" w:w="1728"/>
          </w:tcPr>
          <w:p>
            <w:r>
              <w:rPr>
                <w:rFonts w:ascii="Times New Roman" w:hAnsi="Times New Roman" w:eastAsia="微软雅黑"/>
              </w:rPr>
              <w:t>Ref. cond.</w:t>
            </w:r>
          </w:p>
        </w:tc>
        <w:tc>
          <w:tcPr>
            <w:tcW w:type="dxa" w:w="1728"/>
          </w:tcPr>
          <w:p>
            <w:r>
              <w:rPr>
                <w:rFonts w:ascii="Times New Roman" w:hAnsi="Times New Roman" w:eastAsia="微软雅黑"/>
                <w:i/>
              </w:rPr>
              <w:t>k</w:t>
            </w:r>
            <w:r>
              <w:rPr>
                <w:rFonts w:ascii="Times New Roman" w:hAnsi="Times New Roman" w:eastAsia="微软雅黑"/>
                <w:vertAlign w:val="subscript"/>
              </w:rPr>
              <w:t>ref</w:t>
            </w:r>
          </w:p>
        </w:tc>
        <w:tc>
          <w:tcPr>
            <w:tcW w:type="dxa" w:w="1728"/>
          </w:tcPr>
          <w:p>
            <w:r>
              <w:rPr>
                <w:rFonts w:ascii="Times New Roman" w:hAnsi="Times New Roman" w:eastAsia="微软雅黑"/>
              </w:rPr>
              <w:t>23.2</w:t>
            </w:r>
          </w:p>
        </w:tc>
        <w:tc>
          <w:tcPr>
            <w:tcW w:type="dxa" w:w="1728"/>
          </w:tcPr>
          <w:p>
            <w:r>
              <w:rPr>
                <w:rFonts w:ascii="Times New Roman" w:hAnsi="Times New Roman" w:eastAsia="微软雅黑"/>
              </w:rPr>
              <w:t>W/(m*K)</w:t>
            </w:r>
          </w:p>
        </w:tc>
        <w:tc>
          <w:tcPr>
            <w:tcW w:type="dxa" w:w="1728"/>
          </w:tcPr>
          <w:p>
            <w:r>
              <w:rPr>
                <w:rFonts w:ascii="Times New Roman" w:hAnsi="Times New Roman" w:eastAsia="微软雅黑"/>
              </w:rPr>
              <w:t>[20.88, 25.52]</w:t>
            </w:r>
          </w:p>
        </w:tc>
      </w:tr>
      <w:tr>
        <w:tc>
          <w:tcPr>
            <w:tcW w:type="dxa" w:w="1728"/>
          </w:tcPr>
          <w:p>
            <w:r>
              <w:rPr>
                <w:rFonts w:ascii="Times New Roman" w:hAnsi="Times New Roman" w:eastAsia="微软雅黑"/>
              </w:rPr>
              <w:t>Ref. temp.</w:t>
            </w:r>
          </w:p>
        </w:tc>
        <w:tc>
          <w:tcPr>
            <w:tcW w:type="dxa" w:w="1728"/>
          </w:tcPr>
          <w:p>
            <w:r>
              <w:rPr>
                <w:rFonts w:ascii="Times New Roman" w:hAnsi="Times New Roman" w:eastAsia="微软雅黑"/>
                <w:i/>
              </w:rPr>
              <w:t>T</w:t>
            </w:r>
            <w:r>
              <w:rPr>
                <w:rFonts w:ascii="Times New Roman" w:hAnsi="Times New Roman" w:eastAsia="微软雅黑"/>
                <w:vertAlign w:val="subscript"/>
              </w:rPr>
              <w:t>ref</w:t>
            </w:r>
          </w:p>
        </w:tc>
        <w:tc>
          <w:tcPr>
            <w:tcW w:type="dxa" w:w="1728"/>
          </w:tcPr>
          <w:p>
            <w:r>
              <w:rPr>
                <w:rFonts w:ascii="Times New Roman" w:hAnsi="Times New Roman" w:eastAsia="微软雅黑"/>
              </w:rPr>
              <w:t>923.15</w:t>
            </w:r>
          </w:p>
        </w:tc>
        <w:tc>
          <w:tcPr>
            <w:tcW w:type="dxa" w:w="1728"/>
          </w:tcPr>
          <w:p>
            <w:r>
              <w:rPr>
                <w:rFonts w:ascii="Times New Roman" w:hAnsi="Times New Roman" w:eastAsia="微软雅黑"/>
              </w:rPr>
              <w:t>K</w:t>
            </w:r>
          </w:p>
        </w:tc>
        <w:tc>
          <w:tcPr>
            <w:tcW w:type="dxa" w:w="1728"/>
          </w:tcPr>
          <w:p>
            <w:r>
              <w:rPr>
                <w:rFonts w:ascii="Times New Roman" w:hAnsi="Times New Roman" w:eastAsia="微软雅黑"/>
              </w:rPr>
              <w:t>[830.84, 1015.47]</w:t>
            </w:r>
          </w:p>
        </w:tc>
      </w:tr>
      <w:tr>
        <w:tc>
          <w:tcPr>
            <w:tcW w:type="dxa" w:w="1728"/>
          </w:tcPr>
          <w:p>
            <w:r>
              <w:rPr>
                <w:rFonts w:ascii="Times New Roman" w:hAnsi="Times New Roman" w:eastAsia="微软雅黑"/>
              </w:rPr>
              <w:t>Cond. slope</w:t>
            </w:r>
          </w:p>
        </w:tc>
        <w:tc>
          <w:tcPr>
            <w:tcW w:type="dxa" w:w="1728"/>
          </w:tcPr>
          <w:p>
            <w:r>
              <w:rPr>
                <w:rFonts w:ascii="Times New Roman" w:hAnsi="Times New Roman" w:eastAsia="微软雅黑"/>
                <w:i/>
              </w:rPr>
              <w:t>k</w:t>
            </w:r>
            <w:r>
              <w:rPr>
                <w:rFonts w:ascii="Times New Roman" w:hAnsi="Times New Roman" w:eastAsia="微软雅黑"/>
                <w:vertAlign w:val="subscript"/>
              </w:rPr>
              <w:t>slope</w:t>
            </w:r>
          </w:p>
        </w:tc>
        <w:tc>
          <w:tcPr>
            <w:tcW w:type="dxa" w:w="1728"/>
          </w:tcPr>
          <w:p>
            <w:r>
              <w:rPr>
                <w:rFonts w:ascii="Times New Roman" w:hAnsi="Times New Roman" w:eastAsia="微软雅黑"/>
              </w:rPr>
              <w:t>1/75</w:t>
            </w:r>
          </w:p>
        </w:tc>
        <w:tc>
          <w:tcPr>
            <w:tcW w:type="dxa" w:w="1728"/>
          </w:tcPr>
          <w:p>
            <w:r>
              <w:rPr>
                <w:rFonts w:ascii="Times New Roman" w:hAnsi="Times New Roman" w:eastAsia="微软雅黑"/>
              </w:rPr>
              <w:t>W/(m*K^2)</w:t>
            </w:r>
          </w:p>
        </w:tc>
        <w:tc>
          <w:tcPr>
            <w:tcW w:type="dxa" w:w="1728"/>
          </w:tcPr>
          <w:p>
            <w:r>
              <w:rPr>
                <w:rFonts w:ascii="Times New Roman" w:hAnsi="Times New Roman" w:eastAsia="微软雅黑"/>
              </w:rPr>
              <w:t>[0.012, 0.0147]</w:t>
            </w:r>
          </w:p>
        </w:tc>
      </w:tr>
    </w:tbl>
    <w:p/>
    <w:p>
      <w:r>
        <w:rPr>
          <w:rFonts w:ascii="Times New Roman" w:hAnsi="Times New Roman" w:eastAsia="微软雅黑"/>
        </w:rPr>
        <w:t xml:space="preserve">All priors are independent uniform: theta_k ~ U[0.9*theta_nom, 1.1*theta_nom].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alpha(T)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p>
    <w:p>
      <w:r>
        <w:rPr>
          <w:rFonts w:ascii="Times New Roman" w:hAnsi="Times New Roman" w:eastAsia="微软雅黑"/>
        </w:rPr>
        <w:t xml:space="preserve">所有先验为独立均匀分布：theta_k ~ U[0.9*theta_nom, 1.1*theta_nom]。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。alpha(T)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p>
    <w:p>
      <w:pPr>
        <w:pStyle w:val="Heading2"/>
      </w:pPr>
      <w:r>
        <w:t>Table S2 | BNN hyperparameter search space and optimal values. 表 S2 | BNN 超参数搜索空间与最优值。</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Hyperparameter</w:t>
            </w:r>
          </w:p>
        </w:tc>
        <w:tc>
          <w:tcPr>
            <w:tcW w:type="dxa" w:w="2880"/>
          </w:tcPr>
          <w:p>
            <w:r>
              <w:rPr>
                <w:rFonts w:ascii="Times New Roman" w:hAnsi="Times New Roman" w:eastAsia="微软雅黑"/>
                <w:b/>
              </w:rPr>
              <w:t>Search range</w:t>
            </w:r>
          </w:p>
        </w:tc>
        <w:tc>
          <w:tcPr>
            <w:tcW w:type="dxa" w:w="2880"/>
          </w:tcPr>
          <w:p>
            <w:r>
              <w:rPr>
                <w:rFonts w:ascii="Times New Roman" w:hAnsi="Times New Roman" w:eastAsia="微软雅黑"/>
                <w:b/>
              </w:rPr>
              <w:t>Optimal (bnn-phy-mono)</w:t>
            </w:r>
          </w:p>
        </w:tc>
      </w:tr>
      <w:tr>
        <w:tc>
          <w:tcPr>
            <w:tcW w:type="dxa" w:w="2880"/>
          </w:tcPr>
          <w:p>
            <w:r>
              <w:rPr>
                <w:rFonts w:ascii="Times New Roman" w:hAnsi="Times New Roman" w:eastAsia="微软雅黑"/>
              </w:rPr>
              <w:t>Width</w:t>
            </w:r>
          </w:p>
        </w:tc>
        <w:tc>
          <w:tcPr>
            <w:tcW w:type="dxa" w:w="2880"/>
          </w:tcPr>
          <w:p>
            <w:r>
              <w:rPr>
                <w:rFonts w:ascii="Times New Roman" w:hAnsi="Times New Roman" w:eastAsia="微软雅黑"/>
              </w:rPr>
              <w:t>[64, 256]</w:t>
            </w:r>
          </w:p>
        </w:tc>
        <w:tc>
          <w:tcPr>
            <w:tcW w:type="dxa" w:w="2880"/>
          </w:tcPr>
          <w:p>
            <w:r>
              <w:rPr>
                <w:rFonts w:ascii="Times New Roman" w:hAnsi="Times New Roman" w:eastAsia="微软雅黑"/>
              </w:rPr>
              <w:t>254</w:t>
            </w:r>
          </w:p>
        </w:tc>
      </w:tr>
      <w:tr>
        <w:tc>
          <w:tcPr>
            <w:tcW w:type="dxa" w:w="2880"/>
          </w:tcPr>
          <w:p>
            <w:r>
              <w:rPr>
                <w:rFonts w:ascii="Times New Roman" w:hAnsi="Times New Roman" w:eastAsia="微软雅黑"/>
              </w:rPr>
              <w:t>Depth</w:t>
            </w:r>
          </w:p>
        </w:tc>
        <w:tc>
          <w:tcPr>
            <w:tcW w:type="dxa" w:w="2880"/>
          </w:tcPr>
          <w:p>
            <w:r>
              <w:rPr>
                <w:rFonts w:ascii="Times New Roman" w:hAnsi="Times New Roman" w:eastAsia="微软雅黑"/>
              </w:rPr>
              <w:t>[2, 8]</w:t>
            </w:r>
          </w:p>
        </w:tc>
        <w:tc>
          <w:tcPr>
            <w:tcW w:type="dxa" w:w="2880"/>
          </w:tcPr>
          <w:p>
            <w:r>
              <w:rPr>
                <w:rFonts w:ascii="Times New Roman" w:hAnsi="Times New Roman" w:eastAsia="微软雅黑"/>
              </w:rPr>
              <w:t>2</w:t>
            </w:r>
          </w:p>
        </w:tc>
      </w:tr>
      <w:tr>
        <w:tc>
          <w:tcPr>
            <w:tcW w:type="dxa" w:w="2880"/>
          </w:tcPr>
          <w:p>
            <w:r>
              <w:rPr>
                <w:rFonts w:ascii="Times New Roman" w:hAnsi="Times New Roman" w:eastAsia="微软雅黑"/>
              </w:rPr>
              <w:t>Learning rate</w:t>
            </w:r>
          </w:p>
        </w:tc>
        <w:tc>
          <w:tcPr>
            <w:tcW w:type="dxa" w:w="2880"/>
          </w:tcPr>
          <w:p>
            <w:r>
              <w:rPr>
                <w:rFonts w:ascii="Times New Roman" w:hAnsi="Times New Roman" w:eastAsia="微软雅黑"/>
              </w:rPr>
              <w:t>[1e-4, 1e-2]</w:t>
            </w:r>
          </w:p>
        </w:tc>
        <w:tc>
          <w:tcPr>
            <w:tcW w:type="dxa" w:w="2880"/>
          </w:tcPr>
          <w:p>
            <w:r>
              <w:rPr>
                <w:rFonts w:ascii="Times New Roman" w:hAnsi="Times New Roman" w:eastAsia="微软雅黑"/>
              </w:rPr>
              <w:t xml:space="preserve">9.81 x </w:t>
            </w:r>
            <w:r>
              <w:rPr>
                <w:rFonts w:ascii="Times New Roman" w:hAnsi="Times New Roman" w:eastAsia="微软雅黑"/>
              </w:rPr>
              <w:t>10</w:t>
            </w:r>
            <w:r>
              <w:rPr>
                <w:rFonts w:ascii="Times New Roman" w:hAnsi="Times New Roman" w:eastAsia="微软雅黑"/>
                <w:vertAlign w:val="superscript"/>
              </w:rPr>
              <w:t>-4</w:t>
            </w:r>
          </w:p>
        </w:tc>
      </w:tr>
      <w:tr>
        <w:tc>
          <w:tcPr>
            <w:tcW w:type="dxa" w:w="2880"/>
          </w:tcPr>
          <w:p>
            <w:r>
              <w:rPr>
                <w:rFonts w:ascii="Times New Roman" w:hAnsi="Times New Roman" w:eastAsia="微软雅黑"/>
              </w:rPr>
              <w:t>Weight decay</w:t>
            </w:r>
          </w:p>
        </w:tc>
        <w:tc>
          <w:tcPr>
            <w:tcW w:type="dxa" w:w="2880"/>
          </w:tcPr>
          <w:p>
            <w:r>
              <w:rPr>
                <w:rFonts w:ascii="Times New Roman" w:hAnsi="Times New Roman" w:eastAsia="微软雅黑"/>
              </w:rPr>
              <w:t>[1e-9, 1e-5]</w:t>
            </w:r>
          </w:p>
        </w:tc>
        <w:tc>
          <w:tcPr>
            <w:tcW w:type="dxa" w:w="2880"/>
          </w:tcPr>
          <w:p>
            <w:r>
              <w:rPr>
                <w:rFonts w:ascii="Times New Roman" w:hAnsi="Times New Roman" w:eastAsia="微软雅黑"/>
              </w:rPr>
              <w:t xml:space="preserve">8.09 x </w:t>
            </w:r>
            <w:r>
              <w:rPr>
                <w:rFonts w:ascii="Times New Roman" w:hAnsi="Times New Roman" w:eastAsia="微软雅黑"/>
              </w:rPr>
              <w:t>10</w:t>
            </w:r>
            <w:r>
              <w:rPr>
                <w:rFonts w:ascii="Times New Roman" w:hAnsi="Times New Roman" w:eastAsia="微软雅黑"/>
                <w:vertAlign w:val="superscript"/>
              </w:rPr>
              <w:t>-8</w:t>
            </w:r>
          </w:p>
        </w:tc>
      </w:tr>
      <w:tr>
        <w:tc>
          <w:tcPr>
            <w:tcW w:type="dxa" w:w="2880"/>
          </w:tcPr>
          <w:p>
            <w:r>
              <w:rPr>
                <w:rFonts w:ascii="Times New Roman" w:hAnsi="Times New Roman" w:eastAsia="微软雅黑"/>
              </w:rPr>
              <w:t>Batch size</w:t>
            </w:r>
          </w:p>
        </w:tc>
        <w:tc>
          <w:tcPr>
            <w:tcW w:type="dxa" w:w="2880"/>
          </w:tcPr>
          <w:p>
            <w:r>
              <w:rPr>
                <w:rFonts w:ascii="Times New Roman" w:hAnsi="Times New Roman" w:eastAsia="微软雅黑"/>
              </w:rPr>
              <w:t>{16, 32, 64}</w:t>
            </w:r>
          </w:p>
        </w:tc>
        <w:tc>
          <w:tcPr>
            <w:tcW w:type="dxa" w:w="2880"/>
          </w:tcPr>
          <w:p>
            <w:r>
              <w:rPr>
                <w:rFonts w:ascii="Times New Roman" w:hAnsi="Times New Roman" w:eastAsia="微软雅黑"/>
              </w:rPr>
              <w:t>32</w:t>
            </w:r>
          </w:p>
        </w:tc>
      </w:tr>
      <w:tr>
        <w:tc>
          <w:tcPr>
            <w:tcW w:type="dxa" w:w="2880"/>
          </w:tcPr>
          <w:p>
            <w:r>
              <w:rPr>
                <w:rFonts w:ascii="Times New Roman" w:hAnsi="Times New Roman" w:eastAsia="微软雅黑"/>
              </w:rPr>
              <w:t>Epochs</w:t>
            </w:r>
          </w:p>
        </w:tc>
        <w:tc>
          <w:tcPr>
            <w:tcW w:type="dxa" w:w="2880"/>
          </w:tcPr>
          <w:p>
            <w:r>
              <w:rPr>
                <w:rFonts w:ascii="Times New Roman" w:hAnsi="Times New Roman" w:eastAsia="微软雅黑"/>
              </w:rPr>
              <w:t>[200, 500]</w:t>
            </w:r>
          </w:p>
        </w:tc>
        <w:tc>
          <w:tcPr>
            <w:tcW w:type="dxa" w:w="2880"/>
          </w:tcPr>
          <w:p>
            <w:r>
              <w:rPr>
                <w:rFonts w:ascii="Times New Roman" w:hAnsi="Times New Roman" w:eastAsia="微软雅黑"/>
              </w:rPr>
              <w:t>399</w:t>
            </w:r>
          </w:p>
        </w:tc>
      </w:tr>
      <w:tr>
        <w:tc>
          <w:tcPr>
            <w:tcW w:type="dxa" w:w="2880"/>
          </w:tcPr>
          <w:p>
            <w:r>
              <w:rPr>
                <w:rFonts w:ascii="Times New Roman" w:hAnsi="Times New Roman" w:eastAsia="微软雅黑"/>
              </w:rPr>
              <w:t>Gradient clip</w:t>
            </w:r>
          </w:p>
        </w:tc>
        <w:tc>
          <w:tcPr>
            <w:tcW w:type="dxa" w:w="2880"/>
          </w:tcPr>
          <w:p>
            <w:r>
              <w:rPr>
                <w:rFonts w:ascii="Times New Roman" w:hAnsi="Times New Roman" w:eastAsia="微软雅黑"/>
              </w:rPr>
              <w:t>[0.1, 2.0]</w:t>
            </w:r>
          </w:p>
        </w:tc>
        <w:tc>
          <w:tcPr>
            <w:tcW w:type="dxa" w:w="2880"/>
          </w:tcPr>
          <w:p>
            <w:r>
              <w:rPr>
                <w:rFonts w:ascii="Times New Roman" w:hAnsi="Times New Roman" w:eastAsia="微软雅黑"/>
              </w:rPr>
              <w:t>0.674</w:t>
            </w:r>
          </w:p>
        </w:tc>
      </w:tr>
      <w:tr>
        <w:tc>
          <w:tcPr>
            <w:tcW w:type="dxa" w:w="2880"/>
          </w:tcPr>
          <w:p>
            <w:r>
              <w:rPr>
                <w:rFonts w:ascii="Times New Roman" w:hAnsi="Times New Roman" w:eastAsia="微软雅黑"/>
              </w:rPr>
              <w:t>w_data</w:t>
            </w:r>
          </w:p>
        </w:tc>
        <w:tc>
          <w:tcPr>
            <w:tcW w:type="dxa" w:w="2880"/>
          </w:tcPr>
          <w:p>
            <w:r>
              <w:rPr>
                <w:rFonts w:ascii="Times New Roman" w:hAnsi="Times New Roman" w:eastAsia="微软雅黑"/>
              </w:rPr>
              <w:t>[0.1, 5.0]</w:t>
            </w:r>
          </w:p>
        </w:tc>
        <w:tc>
          <w:tcPr>
            <w:tcW w:type="dxa" w:w="2880"/>
          </w:tcPr>
          <w:p>
            <w:r>
              <w:rPr>
                <w:rFonts w:ascii="Times New Roman" w:hAnsi="Times New Roman" w:eastAsia="微软雅黑"/>
              </w:rPr>
              <w:t>1.855</w:t>
            </w:r>
          </w:p>
        </w:tc>
      </w:tr>
      <w:tr>
        <w:tc>
          <w:tcPr>
            <w:tcW w:type="dxa" w:w="2880"/>
          </w:tcPr>
          <w:p>
            <w:r>
              <w:rPr>
                <w:rFonts w:ascii="Times New Roman" w:hAnsi="Times New Roman" w:eastAsia="微软雅黑"/>
              </w:rPr>
              <w:t>Prior sigma</w:t>
            </w:r>
          </w:p>
        </w:tc>
        <w:tc>
          <w:tcPr>
            <w:tcW w:type="dxa" w:w="2880"/>
          </w:tcPr>
          <w:p>
            <w:r>
              <w:rPr>
                <w:rFonts w:ascii="Times New Roman" w:hAnsi="Times New Roman" w:eastAsia="微软雅黑"/>
              </w:rPr>
              <w:t>[0.1, 2.0]</w:t>
            </w:r>
          </w:p>
        </w:tc>
        <w:tc>
          <w:tcPr>
            <w:tcW w:type="dxa" w:w="2880"/>
          </w:tcPr>
          <w:p>
            <w:r>
              <w:rPr>
                <w:rFonts w:ascii="Times New Roman" w:hAnsi="Times New Roman" w:eastAsia="微软雅黑"/>
              </w:rPr>
              <w:t>0.478</w:t>
            </w:r>
          </w:p>
        </w:tc>
      </w:tr>
      <w:tr>
        <w:tc>
          <w:tcPr>
            <w:tcW w:type="dxa" w:w="2880"/>
          </w:tcPr>
          <w:p>
            <w:r>
              <w:rPr>
                <w:rFonts w:ascii="Times New Roman" w:hAnsi="Times New Roman" w:eastAsia="微软雅黑"/>
              </w:rPr>
              <w:t>KL weight</w:t>
            </w:r>
          </w:p>
        </w:tc>
        <w:tc>
          <w:tcPr>
            <w:tcW w:type="dxa" w:w="2880"/>
          </w:tcPr>
          <w:p>
            <w:r>
              <w:rPr>
                <w:rFonts w:ascii="Times New Roman" w:hAnsi="Times New Roman" w:eastAsia="微软雅黑"/>
              </w:rPr>
              <w:t>[1e-5, 1e-2]</w:t>
            </w:r>
          </w:p>
        </w:tc>
        <w:tc>
          <w:tcPr>
            <w:tcW w:type="dxa" w:w="2880"/>
          </w:tcPr>
          <w:p>
            <w:r>
              <w:rPr>
                <w:rFonts w:ascii="Times New Roman" w:hAnsi="Times New Roman" w:eastAsia="微软雅黑"/>
              </w:rPr>
              <w:t xml:space="preserve">1.93 x </w:t>
            </w:r>
            <w:r>
              <w:rPr>
                <w:rFonts w:ascii="Times New Roman" w:hAnsi="Times New Roman" w:eastAsia="微软雅黑"/>
              </w:rPr>
              <w:t>10</w:t>
            </w:r>
            <w:r>
              <w:rPr>
                <w:rFonts w:ascii="Times New Roman" w:hAnsi="Times New Roman" w:eastAsia="微软雅黑"/>
                <w:vertAlign w:val="superscript"/>
              </w:rPr>
              <w:t>-4</w:t>
            </w:r>
          </w:p>
        </w:tc>
      </w:tr>
      <w:tr>
        <w:tc>
          <w:tcPr>
            <w:tcW w:type="dxa" w:w="2880"/>
          </w:tcPr>
          <w:p>
            <w:r>
              <w:rPr>
                <w:rFonts w:ascii="Times New Roman" w:hAnsi="Times New Roman" w:eastAsia="微软雅黑"/>
              </w:rPr>
              <w:t>w_mono</w:t>
            </w:r>
          </w:p>
        </w:tc>
        <w:tc>
          <w:tcPr>
            <w:tcW w:type="dxa" w:w="2880"/>
          </w:tcPr>
          <w:p>
            <w:r>
              <w:rPr>
                <w:rFonts w:ascii="Times New Roman" w:hAnsi="Times New Roman" w:eastAsia="微软雅黑"/>
              </w:rPr>
              <w:t>[0.01, 1.0]</w:t>
            </w:r>
          </w:p>
        </w:tc>
        <w:tc>
          <w:tcPr>
            <w:tcW w:type="dxa" w:w="2880"/>
          </w:tcPr>
          <w:p>
            <w:r>
              <w:rPr>
                <w:rFonts w:ascii="Times New Roman" w:hAnsi="Times New Roman" w:eastAsia="微软雅黑"/>
              </w:rPr>
              <w:t>0.212</w:t>
            </w:r>
          </w:p>
        </w:tc>
      </w:tr>
      <w:tr>
        <w:tc>
          <w:tcPr>
            <w:tcW w:type="dxa" w:w="2880"/>
          </w:tcPr>
          <w:p>
            <w:r>
              <w:rPr>
                <w:rFonts w:ascii="Times New Roman" w:hAnsi="Times New Roman" w:eastAsia="微软雅黑"/>
              </w:rPr>
              <w:t>rho_abs_min</w:t>
            </w:r>
          </w:p>
        </w:tc>
        <w:tc>
          <w:tcPr>
            <w:tcW w:type="dxa" w:w="2880"/>
          </w:tcPr>
          <w:p>
            <w:r>
              <w:rPr>
                <w:rFonts w:ascii="Times New Roman" w:hAnsi="Times New Roman" w:eastAsia="微软雅黑"/>
              </w:rPr>
              <w:t>[0.01, 0.5]</w:t>
            </w:r>
          </w:p>
        </w:tc>
        <w:tc>
          <w:tcPr>
            <w:tcW w:type="dxa" w:w="2880"/>
          </w:tcPr>
          <w:p>
            <w:r>
              <w:rPr>
                <w:rFonts w:ascii="Times New Roman" w:hAnsi="Times New Roman" w:eastAsia="微软雅黑"/>
              </w:rPr>
              <w:t>0.123</w:t>
            </w:r>
          </w:p>
        </w:tc>
      </w:tr>
      <w:tr>
        <w:tc>
          <w:tcPr>
            <w:tcW w:type="dxa" w:w="2880"/>
          </w:tcPr>
          <w:p>
            <w:r>
              <w:rPr>
                <w:rFonts w:ascii="Times New Roman" w:hAnsi="Times New Roman" w:eastAsia="微软雅黑"/>
              </w:rPr>
              <w:t>mono_topk</w:t>
            </w:r>
          </w:p>
        </w:tc>
        <w:tc>
          <w:tcPr>
            <w:tcW w:type="dxa" w:w="2880"/>
          </w:tcPr>
          <w:p>
            <w:r>
              <w:rPr>
                <w:rFonts w:ascii="Times New Roman" w:hAnsi="Times New Roman" w:eastAsia="微软雅黑"/>
              </w:rPr>
              <w:t>[10, 100]</w:t>
            </w:r>
          </w:p>
        </w:tc>
        <w:tc>
          <w:tcPr>
            <w:tcW w:type="dxa" w:w="2880"/>
          </w:tcPr>
          <w:p>
            <w:r>
              <w:rPr>
                <w:rFonts w:ascii="Times New Roman" w:hAnsi="Times New Roman" w:eastAsia="微软雅黑"/>
              </w:rPr>
              <w:t>53</w:t>
            </w:r>
          </w:p>
        </w:tc>
      </w:tr>
    </w:tbl>
    <w:p/>
    <w:p>
      <w:r>
        <w:rPr>
          <w:rFonts w:ascii="Times New Roman" w:hAnsi="Times New Roman" w:eastAsia="微软雅黑"/>
        </w:rPr>
        <w:t>Search: Optuna with 200 trials; objective: validation RMSE. Activation: SiLU throughout. Output heads: mean + log-variance (heteroscedastic).</w:t>
      </w:r>
    </w:p>
    <w:p>
      <w:r>
        <w:rPr>
          <w:rFonts w:ascii="Times New Roman" w:hAnsi="Times New Roman" w:eastAsia="微软雅黑"/>
        </w:rPr>
        <w:t>搜索：Optuna 200 次试验；目标：验证集 RMSE。激活函数：全程 SiLU。输出头：均值 + 对数方差（异方差）。</w:t>
      </w:r>
    </w:p>
    <w:p>
      <w:pPr>
        <w:pStyle w:val="Heading2"/>
      </w:pPr>
      <w:r>
        <w:t>Table S3 | BNN ablation study: four model variants on five primary outputs. 表 S3 | BNN 消融实验：四种模型变体在五个主要输出上的表现。</w:t>
      </w:r>
    </w:p>
    <w:p>
      <w:r>
        <w:rPr>
          <w:rFonts w:ascii="Times New Roman" w:hAnsi="Times New Roman" w:eastAsia="微软雅黑"/>
        </w:rPr>
        <w:t xml:space="preserve">Metric: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on coupled peak global stress (mean +/- s.d., 5 seeds).</w:t>
      </w:r>
    </w:p>
    <w:p>
      <w:r>
        <w:rPr>
          <w:rFonts w:ascii="Times New Roman" w:hAnsi="Times New Roman" w:eastAsia="微软雅黑"/>
        </w:rPr>
        <w:t xml:space="preserve">指标：耦合峰值全局应力的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（均值 +/- 标准差，5 个种子）。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微软雅黑"/>
                <w:b/>
              </w:rPr>
              <w:t>Model variant</w:t>
            </w:r>
          </w:p>
        </w:tc>
        <w:tc>
          <w:tcPr>
            <w:tcW w:type="dxa" w:w="2160"/>
          </w:tcPr>
          <w:p>
            <w:r>
              <w:rPr>
                <w:rFonts w:ascii="Times New Roman" w:hAnsi="Times New Roman" w:eastAsia="微软雅黑"/>
                <w:b/>
              </w:rPr>
              <w:t xml:space="preserve">Stress </w:t>
            </w:r>
            <w:r>
              <w:rPr>
                <w:rFonts w:ascii="Times New Roman" w:hAnsi="Times New Roman" w:eastAsia="微软雅黑"/>
                <w:b/>
                <w:i/>
              </w:rPr>
              <w:t>R</w:t>
            </w:r>
            <w:r>
              <w:rPr>
                <w:rFonts w:ascii="Times New Roman" w:hAnsi="Times New Roman" w:eastAsia="微软雅黑"/>
                <w:b/>
                <w:vertAlign w:val="superscript"/>
              </w:rPr>
              <w:t>2</w:t>
            </w:r>
          </w:p>
        </w:tc>
        <w:tc>
          <w:tcPr>
            <w:tcW w:type="dxa" w:w="2160"/>
          </w:tcPr>
          <w:p>
            <w:r>
              <w:rPr>
                <w:rFonts w:ascii="Times New Roman" w:hAnsi="Times New Roman" w:eastAsia="微软雅黑"/>
                <w:b/>
              </w:rPr>
              <w:t>Stress PICP</w:t>
            </w:r>
          </w:p>
        </w:tc>
        <w:tc>
          <w:tcPr>
            <w:tcW w:type="dxa" w:w="2160"/>
          </w:tcPr>
          <w:p>
            <w:r>
              <w:rPr>
                <w:rFonts w:ascii="Times New Roman" w:hAnsi="Times New Roman" w:eastAsia="微软雅黑"/>
                <w:b/>
                <w:i/>
              </w:rPr>
              <w:t>k</w:t>
            </w:r>
            <w:r>
              <w:rPr>
                <w:rFonts w:ascii="Times New Roman" w:hAnsi="Times New Roman" w:eastAsia="微软雅黑"/>
                <w:b/>
                <w:vertAlign w:val="subscript"/>
              </w:rPr>
              <w:t>eff</w:t>
            </w:r>
            <w:r>
              <w:rPr>
                <w:rFonts w:ascii="Times New Roman" w:hAnsi="Times New Roman" w:eastAsia="微软雅黑"/>
                <w:b/>
              </w:rPr>
              <w:t xml:space="preserve"> </w:t>
            </w:r>
            <w:r>
              <w:rPr>
                <w:rFonts w:ascii="Times New Roman" w:hAnsi="Times New Roman" w:eastAsia="微软雅黑"/>
                <w:b/>
                <w:i/>
              </w:rPr>
              <w:t>R</w:t>
            </w:r>
            <w:r>
              <w:rPr>
                <w:rFonts w:ascii="Times New Roman" w:hAnsi="Times New Roman" w:eastAsia="微软雅黑"/>
                <w:b/>
                <w:vertAlign w:val="superscript"/>
              </w:rPr>
              <w:t>2</w:t>
            </w:r>
          </w:p>
        </w:tc>
      </w:tr>
      <w:tr>
        <w:tc>
          <w:tcPr>
            <w:tcW w:type="dxa" w:w="2160"/>
          </w:tcPr>
          <w:p>
            <w:r>
              <w:rPr>
                <w:rFonts w:ascii="Times New Roman" w:hAnsi="Times New Roman" w:eastAsia="微软雅黑"/>
              </w:rPr>
              <w:t>Reference (ELBO only)</w:t>
            </w:r>
          </w:p>
        </w:tc>
        <w:tc>
          <w:tcPr>
            <w:tcW w:type="dxa" w:w="2160"/>
          </w:tcPr>
          <w:p>
            <w:r>
              <w:rPr>
                <w:rFonts w:ascii="Times New Roman" w:hAnsi="Times New Roman" w:eastAsia="微软雅黑"/>
              </w:rPr>
              <w:t>0.936 +/- 0.007</w:t>
            </w:r>
          </w:p>
        </w:tc>
        <w:tc>
          <w:tcPr>
            <w:tcW w:type="dxa" w:w="2160"/>
          </w:tcPr>
          <w:p>
            <w:r>
              <w:rPr>
                <w:rFonts w:ascii="Times New Roman" w:hAnsi="Times New Roman" w:eastAsia="微软雅黑"/>
              </w:rPr>
              <w:t>0.995 +/- 0.002</w:t>
            </w:r>
          </w:p>
        </w:tc>
        <w:tc>
          <w:tcPr>
            <w:tcW w:type="dxa" w:w="2160"/>
          </w:tcPr>
          <w:p>
            <w:r>
              <w:rPr>
                <w:rFonts w:ascii="Times New Roman" w:hAnsi="Times New Roman" w:eastAsia="微软雅黑"/>
              </w:rPr>
              <w:t>0.633 +/- 0.260</w:t>
            </w:r>
          </w:p>
        </w:tc>
      </w:tr>
      <w:tr>
        <w:tc>
          <w:tcPr>
            <w:tcW w:type="dxa" w:w="2160"/>
          </w:tcPr>
          <w:p>
            <w:r>
              <w:rPr>
                <w:rFonts w:ascii="Times New Roman" w:hAnsi="Times New Roman" w:eastAsia="微软雅黑"/>
              </w:rPr>
              <w:t>Data-monotone</w:t>
            </w:r>
          </w:p>
        </w:tc>
        <w:tc>
          <w:tcPr>
            <w:tcW w:type="dxa" w:w="2160"/>
          </w:tcPr>
          <w:p>
            <w:r>
              <w:rPr>
                <w:rFonts w:ascii="Times New Roman" w:hAnsi="Times New Roman" w:eastAsia="微软雅黑"/>
              </w:rPr>
              <w:t>0.932 +/- 0.005</w:t>
            </w:r>
          </w:p>
        </w:tc>
        <w:tc>
          <w:tcPr>
            <w:tcW w:type="dxa" w:w="2160"/>
          </w:tcPr>
          <w:p>
            <w:r>
              <w:rPr>
                <w:rFonts w:ascii="Times New Roman" w:hAnsi="Times New Roman" w:eastAsia="微软雅黑"/>
              </w:rPr>
              <w:t>0.998 +/- 0.002</w:t>
            </w:r>
          </w:p>
        </w:tc>
        <w:tc>
          <w:tcPr>
            <w:tcW w:type="dxa" w:w="2160"/>
          </w:tcPr>
          <w:p>
            <w:r>
              <w:rPr>
                <w:rFonts w:ascii="Times New Roman" w:hAnsi="Times New Roman" w:eastAsia="微软雅黑"/>
              </w:rPr>
              <w:t>0.635 +/- 0.260</w:t>
            </w:r>
          </w:p>
        </w:tc>
      </w:tr>
      <w:tr>
        <w:tc>
          <w:tcPr>
            <w:tcW w:type="dxa" w:w="2160"/>
          </w:tcPr>
          <w:p>
            <w:r>
              <w:rPr>
                <w:rFonts w:ascii="Times New Roman" w:hAnsi="Times New Roman" w:eastAsia="微软雅黑"/>
              </w:rPr>
              <w:t>Physics-regularized (primary)</w:t>
            </w:r>
          </w:p>
        </w:tc>
        <w:tc>
          <w:tcPr>
            <w:tcW w:type="dxa" w:w="2160"/>
          </w:tcPr>
          <w:p>
            <w:r>
              <w:rPr>
                <w:rFonts w:ascii="Times New Roman" w:hAnsi="Times New Roman" w:eastAsia="微软雅黑"/>
              </w:rPr>
              <w:t>0.935 +/- 0.007</w:t>
            </w:r>
          </w:p>
        </w:tc>
        <w:tc>
          <w:tcPr>
            <w:tcW w:type="dxa" w:w="2160"/>
          </w:tcPr>
          <w:p>
            <w:r>
              <w:rPr>
                <w:rFonts w:ascii="Times New Roman" w:hAnsi="Times New Roman" w:eastAsia="微软雅黑"/>
              </w:rPr>
              <w:t>0.987 +/- 0.007</w:t>
            </w:r>
          </w:p>
        </w:tc>
        <w:tc>
          <w:tcPr>
            <w:tcW w:type="dxa" w:w="2160"/>
          </w:tcPr>
          <w:p>
            <w:r>
              <w:rPr>
                <w:rFonts w:ascii="Times New Roman" w:hAnsi="Times New Roman" w:eastAsia="微软雅黑"/>
              </w:rPr>
              <w:t>0.633 +/- 0.258</w:t>
            </w:r>
          </w:p>
        </w:tc>
      </w:tr>
      <w:tr>
        <w:tc>
          <w:tcPr>
            <w:tcW w:type="dxa" w:w="2160"/>
          </w:tcPr>
          <w:p>
            <w:r>
              <w:rPr>
                <w:rFonts w:ascii="Times New Roman" w:hAnsi="Times New Roman" w:eastAsia="微软雅黑"/>
              </w:rPr>
              <w:t>Data+inequality</w:t>
            </w:r>
          </w:p>
        </w:tc>
        <w:tc>
          <w:tcPr>
            <w:tcW w:type="dxa" w:w="2160"/>
          </w:tcPr>
          <w:p>
            <w:r>
              <w:rPr>
                <w:rFonts w:ascii="Times New Roman" w:hAnsi="Times New Roman" w:eastAsia="微软雅黑"/>
              </w:rPr>
              <w:t>0.924 +/- 0.007</w:t>
            </w:r>
          </w:p>
        </w:tc>
        <w:tc>
          <w:tcPr>
            <w:tcW w:type="dxa" w:w="2160"/>
          </w:tcPr>
          <w:p>
            <w:r>
              <w:rPr>
                <w:rFonts w:ascii="Times New Roman" w:hAnsi="Times New Roman" w:eastAsia="微软雅黑"/>
              </w:rPr>
              <w:t>1.000 +/- 0.001</w:t>
            </w:r>
          </w:p>
        </w:tc>
        <w:tc>
          <w:tcPr>
            <w:tcW w:type="dxa" w:w="2160"/>
          </w:tcPr>
          <w:p>
            <w:r>
              <w:rPr>
                <w:rFonts w:ascii="Times New Roman" w:hAnsi="Times New Roman" w:eastAsia="微软雅黑"/>
              </w:rPr>
              <w:t>0.617 +/- 0.249</w:t>
            </w:r>
          </w:p>
        </w:tc>
      </w:tr>
    </w:tbl>
    <w:p/>
    <w:p>
      <w:r>
        <w:rPr>
          <w:rFonts w:ascii="Times New Roman" w:hAnsi="Times New Roman" w:eastAsia="微软雅黑"/>
        </w:rPr>
        <w:t xml:space="preserve">The physics-regularized BNN achieves comparable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to the reference while producing tighter (lower PICP) but still well-calibrated intervals. The data+inequality variant shows the most conservative intervals (PICP = 1.0) at slightly reduced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w:t>
      </w:r>
    </w:p>
    <w:p>
      <w:r>
        <w:rPr>
          <w:rFonts w:ascii="Times New Roman" w:hAnsi="Times New Roman" w:eastAsia="微软雅黑"/>
        </w:rPr>
        <w:t xml:space="preserve">物理正则化 BNN 在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与参考代理相当的同时产生更紧（更低 PICP）但仍校准良好的区间。数据+不等式变体显示最保守的区间（PICP = 1.0），但 </w:t>
      </w:r>
      <w:r>
        <w:rPr>
          <w:rFonts w:ascii="Times New Roman" w:hAnsi="Times New Roman" w:eastAsia="微软雅黑"/>
          <w:i/>
        </w:rPr>
        <w:t>R</w:t>
      </w:r>
      <w:r>
        <w:rPr>
          <w:rFonts w:ascii="Times New Roman" w:hAnsi="Times New Roman" w:eastAsia="微软雅黑"/>
          <w:vertAlign w:val="superscript"/>
        </w:rPr>
        <w:t>2</w:t>
      </w:r>
      <w:r>
        <w:rPr>
          <w:rFonts w:ascii="Times New Roman" w:hAnsi="Times New Roman" w:eastAsia="微软雅黑"/>
        </w:rPr>
        <w:t xml:space="preserve"> 略有降低。</w:t>
      </w:r>
    </w:p>
    <w:p>
      <w:pPr>
        <w:pStyle w:val="Heading2"/>
      </w:pPr>
      <w:r>
        <w:t>Table S4 | Complete Sobol indices (S_1 and S_T) for stress and k_eff. 表 S4 | 应力和 k_eff 的完整 Sobol 指标（S_1 和 S_T）。</w:t>
      </w:r>
    </w:p>
    <w:p>
      <w:r>
        <w:rPr>
          <w:rFonts w:ascii="Times New Roman" w:hAnsi="Times New Roman" w:eastAsia="微软雅黑"/>
        </w:rPr>
        <w:t xml:space="preserve">Physics-regularized BNN, </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 50 replications.</w:t>
      </w:r>
    </w:p>
    <w:p>
      <w:r>
        <w:rPr>
          <w:rFonts w:ascii="Times New Roman" w:hAnsi="Times New Roman" w:eastAsia="微软雅黑"/>
        </w:rPr>
        <w:t>物理正则化 BNN，</w:t>
      </w:r>
      <w:r>
        <w:rPr>
          <w:rFonts w:ascii="Times New Roman" w:hAnsi="Times New Roman" w:eastAsia="微软雅黑"/>
          <w:i/>
        </w:rPr>
        <w:t>N</w:t>
      </w:r>
      <w:r>
        <w:rPr>
          <w:rFonts w:ascii="Times New Roman" w:hAnsi="Times New Roman" w:eastAsia="微软雅黑"/>
          <w:vertAlign w:val="subscript"/>
        </w:rPr>
        <w:t>S</w:t>
      </w:r>
      <w:r>
        <w:rPr>
          <w:rFonts w:ascii="Times New Roman" w:hAnsi="Times New Roman" w:eastAsia="微软雅黑"/>
        </w:rPr>
        <w:t xml:space="preserve"> = 4096，50 次重复。</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Parameter</w:t>
            </w:r>
          </w:p>
        </w:tc>
        <w:tc>
          <w:tcPr>
            <w:tcW w:type="dxa" w:w="2880"/>
          </w:tcPr>
          <w:p>
            <w:r>
              <w:rPr>
                <w:rFonts w:ascii="Times New Roman" w:hAnsi="Times New Roman" w:eastAsia="微软雅黑"/>
                <w:b/>
              </w:rPr>
              <w:t xml:space="preserve">Stress </w:t>
            </w:r>
            <w:r>
              <w:rPr>
                <w:rFonts w:ascii="Times New Roman" w:hAnsi="Times New Roman" w:eastAsia="微软雅黑"/>
                <w:b/>
                <w:i/>
              </w:rPr>
              <w:t>S</w:t>
            </w:r>
            <w:r>
              <w:rPr>
                <w:rFonts w:ascii="Times New Roman" w:hAnsi="Times New Roman" w:eastAsia="微软雅黑"/>
                <w:b/>
                <w:vertAlign w:val="subscript"/>
              </w:rPr>
              <w:t>1</w:t>
            </w:r>
            <w:r>
              <w:rPr>
                <w:rFonts w:ascii="Times New Roman" w:hAnsi="Times New Roman" w:eastAsia="微软雅黑"/>
                <w:b/>
              </w:rPr>
              <w:t xml:space="preserve"> [90% CI]</w:t>
            </w:r>
          </w:p>
        </w:tc>
        <w:tc>
          <w:tcPr>
            <w:tcW w:type="dxa" w:w="2880"/>
          </w:tcPr>
          <w:p>
            <w:r>
              <w:rPr>
                <w:rFonts w:ascii="Times New Roman" w:hAnsi="Times New Roman" w:eastAsia="微软雅黑"/>
                <w:b/>
              </w:rPr>
              <w:t xml:space="preserve">Stress </w:t>
            </w:r>
            <w:r>
              <w:rPr>
                <w:rFonts w:ascii="Times New Roman" w:hAnsi="Times New Roman" w:eastAsia="微软雅黑"/>
                <w:b/>
                <w:i/>
              </w:rPr>
              <w:t>S</w:t>
            </w:r>
            <w:r>
              <w:rPr>
                <w:rFonts w:ascii="Times New Roman" w:hAnsi="Times New Roman" w:eastAsia="微软雅黑"/>
                <w:b/>
                <w:vertAlign w:val="subscript"/>
              </w:rPr>
              <w:t>T</w:t>
            </w:r>
            <w:r>
              <w:rPr>
                <w:rFonts w:ascii="Times New Roman" w:hAnsi="Times New Roman" w:eastAsia="微软雅黑"/>
                <w:b/>
              </w:rPr>
              <w:t xml:space="preserve"> [90% CI]</w:t>
            </w:r>
          </w:p>
        </w:tc>
      </w:tr>
      <w:tr>
        <w:tc>
          <w:tcPr>
            <w:tcW w:type="dxa" w:w="2880"/>
          </w:tcPr>
          <w:p>
            <w:r>
              <w:rPr>
                <w:rFonts w:ascii="Times New Roman" w:hAnsi="Times New Roman" w:eastAsia="微软雅黑"/>
                <w:i/>
              </w:rPr>
              <w:t>E</w:t>
            </w:r>
            <w:r>
              <w:rPr>
                <w:rFonts w:ascii="Times New Roman" w:hAnsi="Times New Roman" w:eastAsia="微软雅黑"/>
                <w:vertAlign w:val="subscript"/>
              </w:rPr>
              <w:t>slope</w:t>
            </w:r>
          </w:p>
        </w:tc>
        <w:tc>
          <w:tcPr>
            <w:tcW w:type="dxa" w:w="2880"/>
          </w:tcPr>
          <w:p>
            <w:r>
              <w:rPr>
                <w:rFonts w:ascii="Times New Roman" w:hAnsi="Times New Roman" w:eastAsia="微软雅黑"/>
              </w:rPr>
              <w:t>0.037 [-0.046, 0.100]</w:t>
            </w:r>
          </w:p>
        </w:tc>
        <w:tc>
          <w:tcPr>
            <w:tcW w:type="dxa" w:w="2880"/>
          </w:tcPr>
          <w:p>
            <w:r>
              <w:rPr>
                <w:rFonts w:ascii="Times New Roman" w:hAnsi="Times New Roman" w:eastAsia="微软雅黑"/>
              </w:rPr>
              <w:t>0.039 [0.038, 0.039]</w:t>
            </w:r>
          </w:p>
        </w:tc>
      </w:tr>
      <w:tr>
        <w:tc>
          <w:tcPr>
            <w:tcW w:type="dxa" w:w="2880"/>
          </w:tcPr>
          <w:p>
            <w:r>
              <w:rPr>
                <w:rFonts w:ascii="Times New Roman" w:hAnsi="Times New Roman" w:eastAsia="微软雅黑"/>
                <w:i/>
              </w:rPr>
              <w:t>E</w:t>
            </w:r>
            <w:r>
              <w:rPr>
                <w:rFonts w:ascii="Times New Roman" w:hAnsi="Times New Roman" w:eastAsia="微软雅黑"/>
                <w:vertAlign w:val="subscript"/>
              </w:rPr>
              <w:t>intercept</w:t>
            </w:r>
          </w:p>
        </w:tc>
        <w:tc>
          <w:tcPr>
            <w:tcW w:type="dxa" w:w="2880"/>
          </w:tcPr>
          <w:p>
            <w:r>
              <w:rPr>
                <w:rFonts w:ascii="Times New Roman" w:hAnsi="Times New Roman" w:eastAsia="微软雅黑"/>
              </w:rPr>
              <w:t>0.548 [0.498, 0.572]</w:t>
            </w:r>
          </w:p>
        </w:tc>
        <w:tc>
          <w:tcPr>
            <w:tcW w:type="dxa" w:w="2880"/>
          </w:tcPr>
          <w:p>
            <w:r>
              <w:rPr>
                <w:rFonts w:ascii="Times New Roman" w:hAnsi="Times New Roman" w:eastAsia="微软雅黑"/>
              </w:rPr>
              <w:t>0.566 [0.562, 0.571]</w:t>
            </w:r>
          </w:p>
        </w:tc>
      </w:tr>
      <w:tr>
        <w:tc>
          <w:tcPr>
            <w:tcW w:type="dxa" w:w="2880"/>
          </w:tcPr>
          <w:p>
            <w:r>
              <w:rPr>
                <w:rFonts w:ascii="Times New Roman" w:hAnsi="Times New Roman" w:eastAsia="微软雅黑"/>
              </w:rPr>
              <w:t>nu</w:t>
            </w:r>
          </w:p>
        </w:tc>
        <w:tc>
          <w:tcPr>
            <w:tcW w:type="dxa" w:w="2880"/>
          </w:tcPr>
          <w:p>
            <w:r>
              <w:rPr>
                <w:rFonts w:ascii="Times New Roman" w:hAnsi="Times New Roman" w:eastAsia="微软雅黑"/>
              </w:rPr>
              <w:t>0.063 [0.034, 0.097]</w:t>
            </w:r>
          </w:p>
        </w:tc>
        <w:tc>
          <w:tcPr>
            <w:tcW w:type="dxa" w:w="2880"/>
          </w:tcPr>
          <w:p>
            <w:r>
              <w:rPr>
                <w:rFonts w:ascii="Times New Roman" w:hAnsi="Times New Roman" w:eastAsia="微软雅黑"/>
              </w:rPr>
              <w:t>0.068 [0.067, 0.069]</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base</w:t>
            </w:r>
          </w:p>
        </w:tc>
        <w:tc>
          <w:tcPr>
            <w:tcW w:type="dxa" w:w="2880"/>
          </w:tcPr>
          <w:p>
            <w:r>
              <w:rPr>
                <w:rFonts w:ascii="Times New Roman" w:hAnsi="Times New Roman" w:eastAsia="微软雅黑"/>
              </w:rPr>
              <w:t>0.210 [0.171, 0.254]</w:t>
            </w:r>
          </w:p>
        </w:tc>
        <w:tc>
          <w:tcPr>
            <w:tcW w:type="dxa" w:w="2880"/>
          </w:tcPr>
          <w:p>
            <w:r>
              <w:rPr>
                <w:rFonts w:ascii="Times New Roman" w:hAnsi="Times New Roman" w:eastAsia="微软雅黑"/>
              </w:rPr>
              <w:t>0.214 [0.212, 0.217]</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slope</w:t>
            </w:r>
          </w:p>
        </w:tc>
        <w:tc>
          <w:tcPr>
            <w:tcW w:type="dxa" w:w="2880"/>
          </w:tcPr>
          <w:p>
            <w:r>
              <w:rPr>
                <w:rFonts w:ascii="Times New Roman" w:hAnsi="Times New Roman" w:eastAsia="微软雅黑"/>
              </w:rPr>
              <w:t>0.038 [-0.013, 0.091]</w:t>
            </w:r>
          </w:p>
        </w:tc>
        <w:tc>
          <w:tcPr>
            <w:tcW w:type="dxa" w:w="2880"/>
          </w:tcPr>
          <w:p>
            <w:r>
              <w:rPr>
                <w:rFonts w:ascii="Times New Roman" w:hAnsi="Times New Roman" w:eastAsia="微软雅黑"/>
              </w:rPr>
              <w:t>0.047 [0.046, 0.049]</w:t>
            </w:r>
          </w:p>
        </w:tc>
      </w:tr>
      <w:tr>
        <w:tc>
          <w:tcPr>
            <w:tcW w:type="dxa" w:w="2880"/>
          </w:tcPr>
          <w:p>
            <w:r>
              <w:rPr>
                <w:rFonts w:ascii="Times New Roman" w:hAnsi="Times New Roman" w:eastAsia="微软雅黑"/>
                <w:i/>
              </w:rPr>
              <w:t>T</w:t>
            </w:r>
            <w:r>
              <w:rPr>
                <w:rFonts w:ascii="Times New Roman" w:hAnsi="Times New Roman" w:eastAsia="微软雅黑"/>
                <w:vertAlign w:val="subscript"/>
              </w:rPr>
              <w:t>ref</w:t>
            </w:r>
          </w:p>
        </w:tc>
        <w:tc>
          <w:tcPr>
            <w:tcW w:type="dxa" w:w="2880"/>
          </w:tcPr>
          <w:p>
            <w:r>
              <w:rPr>
                <w:rFonts w:ascii="Times New Roman" w:hAnsi="Times New Roman" w:eastAsia="微软雅黑"/>
              </w:rPr>
              <w:t>0.019 [-0.025, 0.055]</w:t>
            </w:r>
          </w:p>
        </w:tc>
        <w:tc>
          <w:tcPr>
            <w:tcW w:type="dxa" w:w="2880"/>
          </w:tcPr>
          <w:p>
            <w:r>
              <w:rPr>
                <w:rFonts w:ascii="Times New Roman" w:hAnsi="Times New Roman" w:eastAsia="微软雅黑"/>
              </w:rPr>
              <w:t>0.032 [0.031, 0.033]</w:t>
            </w:r>
          </w:p>
        </w:tc>
      </w:tr>
      <w:tr>
        <w:tc>
          <w:tcPr>
            <w:tcW w:type="dxa" w:w="2880"/>
          </w:tcPr>
          <w:p>
            <w:r>
              <w:rPr>
                <w:rFonts w:ascii="Times New Roman" w:hAnsi="Times New Roman" w:eastAsia="微软雅黑"/>
                <w:i/>
              </w:rPr>
              <w:t>k</w:t>
            </w:r>
            <w:r>
              <w:rPr>
                <w:rFonts w:ascii="Times New Roman" w:hAnsi="Times New Roman" w:eastAsia="微软雅黑"/>
                <w:vertAlign w:val="subscript"/>
              </w:rPr>
              <w:t>ref</w:t>
            </w:r>
          </w:p>
        </w:tc>
        <w:tc>
          <w:tcPr>
            <w:tcW w:type="dxa" w:w="2880"/>
          </w:tcPr>
          <w:p>
            <w:r>
              <w:rPr>
                <w:rFonts w:ascii="Times New Roman" w:hAnsi="Times New Roman" w:eastAsia="微软雅黑"/>
              </w:rPr>
              <w:t>0.065 [0.014, 0.118]</w:t>
            </w:r>
          </w:p>
        </w:tc>
        <w:tc>
          <w:tcPr>
            <w:tcW w:type="dxa" w:w="2880"/>
          </w:tcPr>
          <w:p>
            <w:r>
              <w:rPr>
                <w:rFonts w:ascii="Times New Roman" w:hAnsi="Times New Roman" w:eastAsia="微软雅黑"/>
              </w:rPr>
              <w:t>0.073 [0.072, 0.075]</w:t>
            </w:r>
          </w:p>
        </w:tc>
      </w:tr>
      <w:tr>
        <w:tc>
          <w:tcPr>
            <w:tcW w:type="dxa" w:w="2880"/>
          </w:tcPr>
          <w:p>
            <w:r>
              <w:rPr>
                <w:rFonts w:ascii="Times New Roman" w:hAnsi="Times New Roman" w:eastAsia="微软雅黑"/>
              </w:rPr>
              <w:t>SS316_alpha</w:t>
            </w:r>
          </w:p>
        </w:tc>
        <w:tc>
          <w:tcPr>
            <w:tcW w:type="dxa" w:w="2880"/>
          </w:tcPr>
          <w:p>
            <w:r>
              <w:rPr>
                <w:rFonts w:ascii="Times New Roman" w:hAnsi="Times New Roman" w:eastAsia="微软雅黑"/>
              </w:rPr>
              <w:t>-0.004 [-0.068, 0.034]</w:t>
            </w:r>
          </w:p>
        </w:tc>
        <w:tc>
          <w:tcPr>
            <w:tcW w:type="dxa" w:w="2880"/>
          </w:tcPr>
          <w:p>
            <w:r>
              <w:rPr>
                <w:rFonts w:ascii="Times New Roman" w:hAnsi="Times New Roman" w:eastAsia="微软雅黑"/>
              </w:rPr>
              <w:t>0.005 [0.005, 0.006]</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Parameter</w:t>
            </w:r>
          </w:p>
        </w:tc>
        <w:tc>
          <w:tcPr>
            <w:tcW w:type="dxa" w:w="2880"/>
          </w:tcPr>
          <w:p>
            <w:r>
              <w:rPr>
                <w:rFonts w:ascii="Times New Roman" w:hAnsi="Times New Roman" w:eastAsia="微软雅黑"/>
                <w:b/>
                <w:i/>
              </w:rPr>
              <w:t>k</w:t>
            </w:r>
            <w:r>
              <w:rPr>
                <w:rFonts w:ascii="Times New Roman" w:hAnsi="Times New Roman" w:eastAsia="微软雅黑"/>
                <w:b/>
                <w:vertAlign w:val="subscript"/>
              </w:rPr>
              <w:t>eff</w:t>
            </w:r>
            <w:r>
              <w:rPr>
                <w:rFonts w:ascii="Times New Roman" w:hAnsi="Times New Roman" w:eastAsia="微软雅黑"/>
                <w:b/>
              </w:rPr>
              <w:t xml:space="preserve"> </w:t>
            </w:r>
            <w:r>
              <w:rPr>
                <w:rFonts w:ascii="Times New Roman" w:hAnsi="Times New Roman" w:eastAsia="微软雅黑"/>
                <w:b/>
                <w:i/>
              </w:rPr>
              <w:t>S</w:t>
            </w:r>
            <w:r>
              <w:rPr>
                <w:rFonts w:ascii="Times New Roman" w:hAnsi="Times New Roman" w:eastAsia="微软雅黑"/>
                <w:b/>
                <w:vertAlign w:val="subscript"/>
              </w:rPr>
              <w:t>1</w:t>
            </w:r>
            <w:r>
              <w:rPr>
                <w:rFonts w:ascii="Times New Roman" w:hAnsi="Times New Roman" w:eastAsia="微软雅黑"/>
                <w:b/>
              </w:rPr>
              <w:t xml:space="preserve"> [90% CI]</w:t>
            </w:r>
          </w:p>
        </w:tc>
        <w:tc>
          <w:tcPr>
            <w:tcW w:type="dxa" w:w="2880"/>
          </w:tcPr>
          <w:p>
            <w:r>
              <w:rPr>
                <w:rFonts w:ascii="Times New Roman" w:hAnsi="Times New Roman" w:eastAsia="微软雅黑"/>
                <w:b/>
                <w:i/>
              </w:rPr>
              <w:t>k</w:t>
            </w:r>
            <w:r>
              <w:rPr>
                <w:rFonts w:ascii="Times New Roman" w:hAnsi="Times New Roman" w:eastAsia="微软雅黑"/>
                <w:b/>
                <w:vertAlign w:val="subscript"/>
              </w:rPr>
              <w:t>eff</w:t>
            </w:r>
            <w:r>
              <w:rPr>
                <w:rFonts w:ascii="Times New Roman" w:hAnsi="Times New Roman" w:eastAsia="微软雅黑"/>
                <w:b/>
              </w:rPr>
              <w:t xml:space="preserve"> </w:t>
            </w:r>
            <w:r>
              <w:rPr>
                <w:rFonts w:ascii="Times New Roman" w:hAnsi="Times New Roman" w:eastAsia="微软雅黑"/>
                <w:b/>
                <w:i/>
              </w:rPr>
              <w:t>S</w:t>
            </w:r>
            <w:r>
              <w:rPr>
                <w:rFonts w:ascii="Times New Roman" w:hAnsi="Times New Roman" w:eastAsia="微软雅黑"/>
                <w:b/>
                <w:vertAlign w:val="subscript"/>
              </w:rPr>
              <w:t>T</w:t>
            </w:r>
            <w:r>
              <w:rPr>
                <w:rFonts w:ascii="Times New Roman" w:hAnsi="Times New Roman" w:eastAsia="微软雅黑"/>
                <w:b/>
              </w:rPr>
              <w:t xml:space="preserve"> [90% CI]</w:t>
            </w:r>
          </w:p>
        </w:tc>
      </w:tr>
      <w:tr>
        <w:tc>
          <w:tcPr>
            <w:tcW w:type="dxa" w:w="2880"/>
          </w:tcPr>
          <w:p>
            <w:r>
              <w:rPr>
                <w:rFonts w:ascii="Times New Roman" w:hAnsi="Times New Roman" w:eastAsia="微软雅黑"/>
                <w:i/>
              </w:rPr>
              <w:t>E</w:t>
            </w:r>
            <w:r>
              <w:rPr>
                <w:rFonts w:ascii="Times New Roman" w:hAnsi="Times New Roman" w:eastAsia="微软雅黑"/>
                <w:vertAlign w:val="subscript"/>
              </w:rPr>
              <w:t>slope</w:t>
            </w:r>
          </w:p>
        </w:tc>
        <w:tc>
          <w:tcPr>
            <w:tcW w:type="dxa" w:w="2880"/>
          </w:tcPr>
          <w:p>
            <w:r>
              <w:rPr>
                <w:rFonts w:ascii="Times New Roman" w:hAnsi="Times New Roman" w:eastAsia="微软雅黑"/>
              </w:rPr>
              <w:t>0.010 [-0.052, 0.062]</w:t>
            </w:r>
          </w:p>
        </w:tc>
        <w:tc>
          <w:tcPr>
            <w:tcW w:type="dxa" w:w="2880"/>
          </w:tcPr>
          <w:p>
            <w:r>
              <w:rPr>
                <w:rFonts w:ascii="Times New Roman" w:hAnsi="Times New Roman" w:eastAsia="微软雅黑"/>
              </w:rPr>
              <w:t>0.005 [0.004, 0.005]</w:t>
            </w:r>
          </w:p>
        </w:tc>
      </w:tr>
      <w:tr>
        <w:tc>
          <w:tcPr>
            <w:tcW w:type="dxa" w:w="2880"/>
          </w:tcPr>
          <w:p>
            <w:r>
              <w:rPr>
                <w:rFonts w:ascii="Times New Roman" w:hAnsi="Times New Roman" w:eastAsia="微软雅黑"/>
                <w:i/>
              </w:rPr>
              <w:t>E</w:t>
            </w:r>
            <w:r>
              <w:rPr>
                <w:rFonts w:ascii="Times New Roman" w:hAnsi="Times New Roman" w:eastAsia="微软雅黑"/>
                <w:vertAlign w:val="subscript"/>
              </w:rPr>
              <w:t>intercept</w:t>
            </w:r>
          </w:p>
        </w:tc>
        <w:tc>
          <w:tcPr>
            <w:tcW w:type="dxa" w:w="2880"/>
          </w:tcPr>
          <w:p>
            <w:r>
              <w:rPr>
                <w:rFonts w:ascii="Times New Roman" w:hAnsi="Times New Roman" w:eastAsia="微软雅黑"/>
              </w:rPr>
              <w:t>0.008 [-0.065, 0.071]</w:t>
            </w:r>
          </w:p>
        </w:tc>
        <w:tc>
          <w:tcPr>
            <w:tcW w:type="dxa" w:w="2880"/>
          </w:tcPr>
          <w:p>
            <w:r>
              <w:rPr>
                <w:rFonts w:ascii="Times New Roman" w:hAnsi="Times New Roman" w:eastAsia="微软雅黑"/>
              </w:rPr>
              <w:t>0.006 [0.006, 0.007]</w:t>
            </w:r>
          </w:p>
        </w:tc>
      </w:tr>
      <w:tr>
        <w:tc>
          <w:tcPr>
            <w:tcW w:type="dxa" w:w="2880"/>
          </w:tcPr>
          <w:p>
            <w:r>
              <w:rPr>
                <w:rFonts w:ascii="Times New Roman" w:hAnsi="Times New Roman" w:eastAsia="微软雅黑"/>
              </w:rPr>
              <w:t>nu</w:t>
            </w:r>
          </w:p>
        </w:tc>
        <w:tc>
          <w:tcPr>
            <w:tcW w:type="dxa" w:w="2880"/>
          </w:tcPr>
          <w:p>
            <w:r>
              <w:rPr>
                <w:rFonts w:ascii="Times New Roman" w:hAnsi="Times New Roman" w:eastAsia="微软雅黑"/>
              </w:rPr>
              <w:t>0.029 [-0.035, 0.086]</w:t>
            </w:r>
          </w:p>
        </w:tc>
        <w:tc>
          <w:tcPr>
            <w:tcW w:type="dxa" w:w="2880"/>
          </w:tcPr>
          <w:p>
            <w:r>
              <w:rPr>
                <w:rFonts w:ascii="Times New Roman" w:hAnsi="Times New Roman" w:eastAsia="微软雅黑"/>
              </w:rPr>
              <w:t>0.018 [0.018, 0.019]</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base</w:t>
            </w:r>
          </w:p>
        </w:tc>
        <w:tc>
          <w:tcPr>
            <w:tcW w:type="dxa" w:w="2880"/>
          </w:tcPr>
          <w:p>
            <w:r>
              <w:rPr>
                <w:rFonts w:ascii="Times New Roman" w:hAnsi="Times New Roman" w:eastAsia="微软雅黑"/>
              </w:rPr>
              <w:t>0.771 [0.747, 0.788]</w:t>
            </w:r>
          </w:p>
        </w:tc>
        <w:tc>
          <w:tcPr>
            <w:tcW w:type="dxa" w:w="2880"/>
          </w:tcPr>
          <w:p>
            <w:r>
              <w:rPr>
                <w:rFonts w:ascii="Times New Roman" w:hAnsi="Times New Roman" w:eastAsia="微软雅黑"/>
              </w:rPr>
              <w:t>0.767 [0.758, 0.776]</w:t>
            </w:r>
          </w:p>
        </w:tc>
      </w:tr>
      <w:tr>
        <w:tc>
          <w:tcPr>
            <w:tcW w:type="dxa" w:w="2880"/>
          </w:tcPr>
          <w:p>
            <w:r>
              <w:rPr>
                <w:rFonts w:ascii="Times New Roman" w:hAnsi="Times New Roman" w:eastAsia="微软雅黑"/>
                <w:i w:val="0"/>
              </w:rPr>
              <w:t>α</w:t>
            </w:r>
            <w:r>
              <w:rPr>
                <w:rFonts w:ascii="Times New Roman" w:hAnsi="Times New Roman" w:eastAsia="微软雅黑"/>
                <w:vertAlign w:val="subscript"/>
              </w:rPr>
              <w:t>slope</w:t>
            </w:r>
          </w:p>
        </w:tc>
        <w:tc>
          <w:tcPr>
            <w:tcW w:type="dxa" w:w="2880"/>
          </w:tcPr>
          <w:p>
            <w:r>
              <w:rPr>
                <w:rFonts w:ascii="Times New Roman" w:hAnsi="Times New Roman" w:eastAsia="微软雅黑"/>
              </w:rPr>
              <w:t>0.195 [0.112, 0.250]</w:t>
            </w:r>
          </w:p>
        </w:tc>
        <w:tc>
          <w:tcPr>
            <w:tcW w:type="dxa" w:w="2880"/>
          </w:tcPr>
          <w:p>
            <w:r>
              <w:rPr>
                <w:rFonts w:ascii="Times New Roman" w:hAnsi="Times New Roman" w:eastAsia="微软雅黑"/>
              </w:rPr>
              <w:t>0.198 [0.196, 0.201]</w:t>
            </w:r>
          </w:p>
        </w:tc>
      </w:tr>
      <w:tr>
        <w:tc>
          <w:tcPr>
            <w:tcW w:type="dxa" w:w="2880"/>
          </w:tcPr>
          <w:p>
            <w:r>
              <w:rPr>
                <w:rFonts w:ascii="Times New Roman" w:hAnsi="Times New Roman" w:eastAsia="微软雅黑"/>
                <w:i/>
              </w:rPr>
              <w:t>T</w:t>
            </w:r>
            <w:r>
              <w:rPr>
                <w:rFonts w:ascii="Times New Roman" w:hAnsi="Times New Roman" w:eastAsia="微软雅黑"/>
                <w:vertAlign w:val="subscript"/>
              </w:rPr>
              <w:t>ref</w:t>
            </w:r>
          </w:p>
        </w:tc>
        <w:tc>
          <w:tcPr>
            <w:tcW w:type="dxa" w:w="2880"/>
          </w:tcPr>
          <w:p>
            <w:r>
              <w:rPr>
                <w:rFonts w:ascii="Times New Roman" w:hAnsi="Times New Roman" w:eastAsia="微软雅黑"/>
              </w:rPr>
              <w:t>0.010 [-0.023, 0.054]</w:t>
            </w:r>
          </w:p>
        </w:tc>
        <w:tc>
          <w:tcPr>
            <w:tcW w:type="dxa" w:w="2880"/>
          </w:tcPr>
          <w:p>
            <w:r>
              <w:rPr>
                <w:rFonts w:ascii="Times New Roman" w:hAnsi="Times New Roman" w:eastAsia="微软雅黑"/>
              </w:rPr>
              <w:t>0.011 [0.011, 0.012]</w:t>
            </w:r>
          </w:p>
        </w:tc>
      </w:tr>
      <w:tr>
        <w:tc>
          <w:tcPr>
            <w:tcW w:type="dxa" w:w="2880"/>
          </w:tcPr>
          <w:p>
            <w:r>
              <w:rPr>
                <w:rFonts w:ascii="Times New Roman" w:hAnsi="Times New Roman" w:eastAsia="微软雅黑"/>
                <w:i/>
              </w:rPr>
              <w:t>k</w:t>
            </w:r>
            <w:r>
              <w:rPr>
                <w:rFonts w:ascii="Times New Roman" w:hAnsi="Times New Roman" w:eastAsia="微软雅黑"/>
                <w:vertAlign w:val="subscript"/>
              </w:rPr>
              <w:t>ref</w:t>
            </w:r>
          </w:p>
        </w:tc>
        <w:tc>
          <w:tcPr>
            <w:tcW w:type="dxa" w:w="2880"/>
          </w:tcPr>
          <w:p>
            <w:r>
              <w:rPr>
                <w:rFonts w:ascii="Times New Roman" w:hAnsi="Times New Roman" w:eastAsia="微软雅黑"/>
              </w:rPr>
              <w:t>0.000 [-0.063, 0.048]</w:t>
            </w:r>
          </w:p>
        </w:tc>
        <w:tc>
          <w:tcPr>
            <w:tcW w:type="dxa" w:w="2880"/>
          </w:tcPr>
          <w:p>
            <w:r>
              <w:rPr>
                <w:rFonts w:ascii="Times New Roman" w:hAnsi="Times New Roman" w:eastAsia="微软雅黑"/>
              </w:rPr>
              <w:t>0.006 [0.006, 0.007]</w:t>
            </w:r>
          </w:p>
        </w:tc>
      </w:tr>
      <w:tr>
        <w:tc>
          <w:tcPr>
            <w:tcW w:type="dxa" w:w="2880"/>
          </w:tcPr>
          <w:p>
            <w:r>
              <w:rPr>
                <w:rFonts w:ascii="Times New Roman" w:hAnsi="Times New Roman" w:eastAsia="微软雅黑"/>
              </w:rPr>
              <w:t>SS316_alpha</w:t>
            </w:r>
          </w:p>
        </w:tc>
        <w:tc>
          <w:tcPr>
            <w:tcW w:type="dxa" w:w="2880"/>
          </w:tcPr>
          <w:p>
            <w:r>
              <w:rPr>
                <w:rFonts w:ascii="Times New Roman" w:hAnsi="Times New Roman" w:eastAsia="微软雅黑"/>
              </w:rPr>
              <w:t>0.003 [-0.059, 0.074]</w:t>
            </w:r>
          </w:p>
        </w:tc>
        <w:tc>
          <w:tcPr>
            <w:tcW w:type="dxa" w:w="2880"/>
          </w:tcPr>
          <w:p>
            <w:r>
              <w:rPr>
                <w:rFonts w:ascii="Times New Roman" w:hAnsi="Times New Roman" w:eastAsia="微软雅黑"/>
              </w:rPr>
              <w:t>0.009 [0.009, 0.009]</w:t>
            </w:r>
          </w:p>
        </w:tc>
      </w:tr>
    </w:tbl>
    <w:p/>
    <w:p>
      <w:r>
        <w:rPr>
          <w:rFonts w:ascii="Times New Roman" w:hAnsi="Times New Roman" w:eastAsia="微软雅黑"/>
          <w:i/>
          <w:color w:val="888888"/>
          <w:sz w:val="18"/>
        </w:rPr>
        <w:t>[NOTE: S_1 values from sobol_convergence.csv (N_S=4096, 50 reps, bootstrap CI); S_T values from sobol_results.csv (same run, Jansen estimator). S_T CIs are narrower because they use direct replicate quantiles rather than bootstrap.]</w:t>
      </w:r>
    </w:p>
    <w:p>
      <w:pPr>
        <w:pStyle w:val="Heading2"/>
      </w:pPr>
      <w:r>
        <w:t>Table S5 | Posterior calibration: 18 benchmark case summary. 表 S5 | 后验标定：18 个基准算例汇总。</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微软雅黑"/>
                <w:b/>
              </w:rPr>
              <w:t>Case</w:t>
            </w:r>
          </w:p>
        </w:tc>
        <w:tc>
          <w:tcPr>
            <w:tcW w:type="dxa" w:w="1440"/>
          </w:tcPr>
          <w:p>
            <w:r>
              <w:rPr>
                <w:rFonts w:ascii="Times New Roman" w:hAnsi="Times New Roman" w:eastAsia="微软雅黑"/>
                <w:b/>
              </w:rPr>
              <w:t>Category</w:t>
            </w:r>
          </w:p>
        </w:tc>
        <w:tc>
          <w:tcPr>
            <w:tcW w:type="dxa" w:w="1440"/>
          </w:tcPr>
          <w:p>
            <w:r>
              <w:rPr>
                <w:rFonts w:ascii="Times New Roman" w:hAnsi="Times New Roman" w:eastAsia="微软雅黑"/>
                <w:b/>
              </w:rPr>
              <w:t>True stress</w:t>
            </w:r>
          </w:p>
        </w:tc>
        <w:tc>
          <w:tcPr>
            <w:tcW w:type="dxa" w:w="1440"/>
          </w:tcPr>
          <w:p>
            <w:r>
              <w:rPr>
                <w:rFonts w:ascii="Times New Roman" w:hAnsi="Times New Roman" w:eastAsia="微软雅黑"/>
                <w:b/>
              </w:rPr>
              <w:t>Accept rate</w:t>
            </w:r>
          </w:p>
        </w:tc>
        <w:tc>
          <w:tcPr>
            <w:tcW w:type="dxa" w:w="1440"/>
          </w:tcPr>
          <w:p>
            <w:r>
              <w:rPr>
                <w:rFonts w:ascii="Times New Roman" w:hAnsi="Times New Roman" w:eastAsia="微软雅黑"/>
                <w:b/>
              </w:rPr>
              <w:t>90%-CI coverage</w:t>
            </w:r>
          </w:p>
        </w:tc>
        <w:tc>
          <w:tcPr>
            <w:tcW w:type="dxa" w:w="1440"/>
          </w:tcPr>
          <w:p>
            <w:r>
              <w:rPr>
                <w:rFonts w:ascii="Times New Roman" w:hAnsi="Times New Roman" w:eastAsia="微软雅黑"/>
                <w:b/>
              </w:rPr>
              <w:t>Post-mean</w:t>
            </w:r>
          </w:p>
        </w:tc>
      </w:tr>
      <w:tr>
        <w:tc>
          <w:tcPr>
            <w:tcW w:type="dxa" w:w="1440"/>
          </w:tcPr>
          <w:p>
            <w:r>
              <w:rPr>
                <w:rFonts w:ascii="Times New Roman" w:hAnsi="Times New Roman" w:eastAsia="微软雅黑"/>
              </w:rPr>
              <w:t>(MPa)</w:t>
            </w:r>
          </w:p>
        </w:tc>
        <w:tc>
          <w:tcPr>
            <w:tcW w:type="dxa" w:w="1440"/>
          </w:tcPr>
          <w:p>
            <w:r>
              <w:rPr>
                <w:rFonts w:ascii="Times New Roman" w:hAnsi="Times New Roman" w:eastAsia="微软雅黑"/>
              </w:rPr>
              <w:t>(4 params)</w:t>
            </w:r>
          </w:p>
        </w:tc>
        <w:tc>
          <w:tcPr>
            <w:tcW w:type="dxa" w:w="1440"/>
          </w:tcPr>
          <w:p>
            <w:r>
              <w:rPr>
                <w:rFonts w:ascii="Times New Roman" w:hAnsi="Times New Roman" w:eastAsia="微软雅黑"/>
              </w:rPr>
              <w:t>stress err.</w:t>
            </w:r>
          </w:p>
        </w:tc>
        <w:tc>
          <w:tcPr>
            <w:tcW w:type="dxa" w:w="1440"/>
          </w:tcPr>
          <w:p/>
        </w:tc>
        <w:tc>
          <w:tcPr>
            <w:tcW w:type="dxa" w:w="1440"/>
          </w:tcPr>
          <w:p/>
        </w:tc>
        <w:tc>
          <w:tcPr>
            <w:tcW w:type="dxa" w:w="1440"/>
          </w:tcPr>
          <w:p/>
        </w:tc>
      </w:tr>
      <w:tr>
        <w:tc>
          <w:tcPr>
            <w:tcW w:type="dxa" w:w="1440"/>
          </w:tcPr>
          <w:p>
            <w:r>
              <w:rPr>
                <w:rFonts w:ascii="Times New Roman" w:hAnsi="Times New Roman" w:eastAsia="微软雅黑"/>
              </w:rPr>
              <w:t>0</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110.6</w:t>
            </w:r>
          </w:p>
        </w:tc>
        <w:tc>
          <w:tcPr>
            <w:tcW w:type="dxa" w:w="1440"/>
          </w:tcPr>
          <w:p>
            <w:r>
              <w:rPr>
                <w:rFonts w:ascii="Times New Roman" w:hAnsi="Times New Roman" w:eastAsia="微软雅黑"/>
              </w:rPr>
              <w:t>0.619</w:t>
            </w:r>
          </w:p>
        </w:tc>
        <w:tc>
          <w:tcPr>
            <w:tcW w:type="dxa" w:w="1440"/>
          </w:tcPr>
          <w:p>
            <w:r>
              <w:rPr>
                <w:rFonts w:ascii="Times New Roman" w:hAnsi="Times New Roman" w:eastAsia="微软雅黑"/>
              </w:rPr>
              <w:t>3/4</w:t>
            </w:r>
          </w:p>
        </w:tc>
        <w:tc>
          <w:tcPr>
            <w:tcW w:type="dxa" w:w="1440"/>
          </w:tcPr>
          <w:p>
            <w:r>
              <w:rPr>
                <w:rFonts w:ascii="Times New Roman" w:hAnsi="Times New Roman" w:eastAsia="微软雅黑"/>
              </w:rPr>
              <w:t>8.3</w:t>
            </w:r>
          </w:p>
        </w:tc>
      </w:tr>
      <w:tr>
        <w:tc>
          <w:tcPr>
            <w:tcW w:type="dxa" w:w="1440"/>
          </w:tcPr>
          <w:p>
            <w:r>
              <w:rPr>
                <w:rFonts w:ascii="Times New Roman" w:hAnsi="Times New Roman" w:eastAsia="微软雅黑"/>
              </w:rPr>
              <w:t>1</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118.7</w:t>
            </w:r>
          </w:p>
        </w:tc>
        <w:tc>
          <w:tcPr>
            <w:tcW w:type="dxa" w:w="1440"/>
          </w:tcPr>
          <w:p>
            <w:r>
              <w:rPr>
                <w:rFonts w:ascii="Times New Roman" w:hAnsi="Times New Roman" w:eastAsia="微软雅黑"/>
              </w:rPr>
              <w:t>0.612</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24.6</w:t>
            </w:r>
          </w:p>
        </w:tc>
      </w:tr>
      <w:tr>
        <w:tc>
          <w:tcPr>
            <w:tcW w:type="dxa" w:w="1440"/>
          </w:tcPr>
          <w:p>
            <w:r>
              <w:rPr>
                <w:rFonts w:ascii="Times New Roman" w:hAnsi="Times New Roman" w:eastAsia="微软雅黑"/>
              </w:rPr>
              <w:t>2</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110.7</w:t>
            </w:r>
          </w:p>
        </w:tc>
        <w:tc>
          <w:tcPr>
            <w:tcW w:type="dxa" w:w="1440"/>
          </w:tcPr>
          <w:p>
            <w:r>
              <w:rPr>
                <w:rFonts w:ascii="Times New Roman" w:hAnsi="Times New Roman" w:eastAsia="微软雅黑"/>
              </w:rPr>
              <w:t>0.620</w:t>
            </w:r>
          </w:p>
        </w:tc>
        <w:tc>
          <w:tcPr>
            <w:tcW w:type="dxa" w:w="1440"/>
          </w:tcPr>
          <w:p>
            <w:r>
              <w:rPr>
                <w:rFonts w:ascii="Times New Roman" w:hAnsi="Times New Roman" w:eastAsia="微软雅黑"/>
              </w:rPr>
              <w:t>2/4</w:t>
            </w:r>
          </w:p>
        </w:tc>
        <w:tc>
          <w:tcPr>
            <w:tcW w:type="dxa" w:w="1440"/>
          </w:tcPr>
          <w:p>
            <w:r>
              <w:rPr>
                <w:rFonts w:ascii="Times New Roman" w:hAnsi="Times New Roman" w:eastAsia="微软雅黑"/>
              </w:rPr>
              <w:t>9.0</w:t>
            </w:r>
          </w:p>
        </w:tc>
      </w:tr>
      <w:tr>
        <w:tc>
          <w:tcPr>
            <w:tcW w:type="dxa" w:w="1440"/>
          </w:tcPr>
          <w:p>
            <w:r>
              <w:rPr>
                <w:rFonts w:ascii="Times New Roman" w:hAnsi="Times New Roman" w:eastAsia="微软雅黑"/>
              </w:rPr>
              <w:t>3</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103.7</w:t>
            </w:r>
          </w:p>
        </w:tc>
        <w:tc>
          <w:tcPr>
            <w:tcW w:type="dxa" w:w="1440"/>
          </w:tcPr>
          <w:p>
            <w:r>
              <w:rPr>
                <w:rFonts w:ascii="Times New Roman" w:hAnsi="Times New Roman" w:eastAsia="微软雅黑"/>
              </w:rPr>
              <w:t>0.618</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8.8</w:t>
            </w:r>
          </w:p>
        </w:tc>
      </w:tr>
      <w:tr>
        <w:tc>
          <w:tcPr>
            <w:tcW w:type="dxa" w:w="1440"/>
          </w:tcPr>
          <w:p>
            <w:r>
              <w:rPr>
                <w:rFonts w:ascii="Times New Roman" w:hAnsi="Times New Roman" w:eastAsia="微软雅黑"/>
              </w:rPr>
              <w:t>4</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114.5</w:t>
            </w:r>
          </w:p>
        </w:tc>
        <w:tc>
          <w:tcPr>
            <w:tcW w:type="dxa" w:w="1440"/>
          </w:tcPr>
          <w:p>
            <w:r>
              <w:rPr>
                <w:rFonts w:ascii="Times New Roman" w:hAnsi="Times New Roman" w:eastAsia="微软雅黑"/>
              </w:rPr>
              <w:t>0.621</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3.1</w:t>
            </w:r>
          </w:p>
        </w:tc>
      </w:tr>
      <w:tr>
        <w:tc>
          <w:tcPr>
            <w:tcW w:type="dxa" w:w="1440"/>
          </w:tcPr>
          <w:p>
            <w:r>
              <w:rPr>
                <w:rFonts w:ascii="Times New Roman" w:hAnsi="Times New Roman" w:eastAsia="微软雅黑"/>
              </w:rPr>
              <w:t>5</w:t>
            </w:r>
          </w:p>
        </w:tc>
        <w:tc>
          <w:tcPr>
            <w:tcW w:type="dxa" w:w="1440"/>
          </w:tcPr>
          <w:p>
            <w:r>
              <w:rPr>
                <w:rFonts w:ascii="Times New Roman" w:hAnsi="Times New Roman" w:eastAsia="微软雅黑"/>
              </w:rPr>
              <w:t>low</w:t>
            </w:r>
          </w:p>
        </w:tc>
        <w:tc>
          <w:tcPr>
            <w:tcW w:type="dxa" w:w="1440"/>
          </w:tcPr>
          <w:p>
            <w:r>
              <w:rPr>
                <w:rFonts w:ascii="Times New Roman" w:hAnsi="Times New Roman" w:eastAsia="微软雅黑"/>
              </w:rPr>
              <w:t>102.0</w:t>
            </w:r>
          </w:p>
        </w:tc>
        <w:tc>
          <w:tcPr>
            <w:tcW w:type="dxa" w:w="1440"/>
          </w:tcPr>
          <w:p>
            <w:r>
              <w:rPr>
                <w:rFonts w:ascii="Times New Roman" w:hAnsi="Times New Roman" w:eastAsia="微软雅黑"/>
              </w:rPr>
              <w:t>0.616</w:t>
            </w:r>
          </w:p>
        </w:tc>
        <w:tc>
          <w:tcPr>
            <w:tcW w:type="dxa" w:w="1440"/>
          </w:tcPr>
          <w:p>
            <w:r>
              <w:rPr>
                <w:rFonts w:ascii="Times New Roman" w:hAnsi="Times New Roman" w:eastAsia="微软雅黑"/>
              </w:rPr>
              <w:t>3/4</w:t>
            </w:r>
          </w:p>
        </w:tc>
        <w:tc>
          <w:tcPr>
            <w:tcW w:type="dxa" w:w="1440"/>
          </w:tcPr>
          <w:p>
            <w:r>
              <w:rPr>
                <w:rFonts w:ascii="Times New Roman" w:hAnsi="Times New Roman" w:eastAsia="微软雅黑"/>
              </w:rPr>
              <w:t>23.4</w:t>
            </w:r>
          </w:p>
        </w:tc>
      </w:tr>
      <w:tr>
        <w:tc>
          <w:tcPr>
            <w:tcW w:type="dxa" w:w="1440"/>
          </w:tcPr>
          <w:p>
            <w:r>
              <w:rPr>
                <w:rFonts w:ascii="Times New Roman" w:hAnsi="Times New Roman" w:eastAsia="微软雅黑"/>
              </w:rPr>
              <w:t>6</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127.6</w:t>
            </w:r>
          </w:p>
        </w:tc>
        <w:tc>
          <w:tcPr>
            <w:tcW w:type="dxa" w:w="1440"/>
          </w:tcPr>
          <w:p>
            <w:r>
              <w:rPr>
                <w:rFonts w:ascii="Times New Roman" w:hAnsi="Times New Roman" w:eastAsia="微软雅黑"/>
              </w:rPr>
              <w:t>0.609</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20.3</w:t>
            </w:r>
          </w:p>
        </w:tc>
      </w:tr>
      <w:tr>
        <w:tc>
          <w:tcPr>
            <w:tcW w:type="dxa" w:w="1440"/>
          </w:tcPr>
          <w:p>
            <w:r>
              <w:rPr>
                <w:rFonts w:ascii="Times New Roman" w:hAnsi="Times New Roman" w:eastAsia="微软雅黑"/>
              </w:rPr>
              <w:t>7</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127.9</w:t>
            </w:r>
          </w:p>
        </w:tc>
        <w:tc>
          <w:tcPr>
            <w:tcW w:type="dxa" w:w="1440"/>
          </w:tcPr>
          <w:p>
            <w:r>
              <w:rPr>
                <w:rFonts w:ascii="Times New Roman" w:hAnsi="Times New Roman" w:eastAsia="微软雅黑"/>
              </w:rPr>
              <w:t>0.586</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26.6</w:t>
            </w:r>
          </w:p>
        </w:tc>
      </w:tr>
      <w:tr>
        <w:tc>
          <w:tcPr>
            <w:tcW w:type="dxa" w:w="1440"/>
          </w:tcPr>
          <w:p>
            <w:r>
              <w:rPr>
                <w:rFonts w:ascii="Times New Roman" w:hAnsi="Times New Roman" w:eastAsia="微软雅黑"/>
              </w:rPr>
              <w:t>8</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127.0</w:t>
            </w:r>
          </w:p>
        </w:tc>
        <w:tc>
          <w:tcPr>
            <w:tcW w:type="dxa" w:w="1440"/>
          </w:tcPr>
          <w:p>
            <w:r>
              <w:rPr>
                <w:rFonts w:ascii="Times New Roman" w:hAnsi="Times New Roman" w:eastAsia="微软雅黑"/>
              </w:rPr>
              <w:t>0.611</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5.9</w:t>
            </w:r>
          </w:p>
        </w:tc>
      </w:tr>
      <w:tr>
        <w:tc>
          <w:tcPr>
            <w:tcW w:type="dxa" w:w="1440"/>
          </w:tcPr>
          <w:p>
            <w:r>
              <w:rPr>
                <w:rFonts w:ascii="Times New Roman" w:hAnsi="Times New Roman" w:eastAsia="微软雅黑"/>
              </w:rPr>
              <w:t>9</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123.5</w:t>
            </w:r>
          </w:p>
        </w:tc>
        <w:tc>
          <w:tcPr>
            <w:tcW w:type="dxa" w:w="1440"/>
          </w:tcPr>
          <w:p>
            <w:r>
              <w:rPr>
                <w:rFonts w:ascii="Times New Roman" w:hAnsi="Times New Roman" w:eastAsia="微软雅黑"/>
              </w:rPr>
              <w:t>0.613</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3.5</w:t>
            </w:r>
          </w:p>
        </w:tc>
      </w:tr>
      <w:tr>
        <w:tc>
          <w:tcPr>
            <w:tcW w:type="dxa" w:w="1440"/>
          </w:tcPr>
          <w:p>
            <w:r>
              <w:rPr>
                <w:rFonts w:ascii="Times New Roman" w:hAnsi="Times New Roman" w:eastAsia="微软雅黑"/>
              </w:rPr>
              <w:t>10</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128.9</w:t>
            </w:r>
          </w:p>
        </w:tc>
        <w:tc>
          <w:tcPr>
            <w:tcW w:type="dxa" w:w="1440"/>
          </w:tcPr>
          <w:p>
            <w:r>
              <w:rPr>
                <w:rFonts w:ascii="Times New Roman" w:hAnsi="Times New Roman" w:eastAsia="微软雅黑"/>
              </w:rPr>
              <w:t>0.609</w:t>
            </w:r>
          </w:p>
        </w:tc>
        <w:tc>
          <w:tcPr>
            <w:tcW w:type="dxa" w:w="1440"/>
          </w:tcPr>
          <w:p>
            <w:r>
              <w:rPr>
                <w:rFonts w:ascii="Times New Roman" w:hAnsi="Times New Roman" w:eastAsia="微软雅黑"/>
              </w:rPr>
              <w:t>3/4</w:t>
            </w:r>
          </w:p>
        </w:tc>
        <w:tc>
          <w:tcPr>
            <w:tcW w:type="dxa" w:w="1440"/>
          </w:tcPr>
          <w:p>
            <w:r>
              <w:rPr>
                <w:rFonts w:ascii="Times New Roman" w:hAnsi="Times New Roman" w:eastAsia="微软雅黑"/>
              </w:rPr>
              <w:t>4.5</w:t>
            </w:r>
          </w:p>
        </w:tc>
      </w:tr>
      <w:tr>
        <w:tc>
          <w:tcPr>
            <w:tcW w:type="dxa" w:w="1440"/>
          </w:tcPr>
          <w:p>
            <w:r>
              <w:rPr>
                <w:rFonts w:ascii="Times New Roman" w:hAnsi="Times New Roman" w:eastAsia="微软雅黑"/>
              </w:rPr>
              <w:t>11</w:t>
            </w:r>
          </w:p>
        </w:tc>
        <w:tc>
          <w:tcPr>
            <w:tcW w:type="dxa" w:w="1440"/>
          </w:tcPr>
          <w:p>
            <w:r>
              <w:rPr>
                <w:rFonts w:ascii="Times New Roman" w:hAnsi="Times New Roman" w:eastAsia="微软雅黑"/>
              </w:rPr>
              <w:t>near</w:t>
            </w:r>
          </w:p>
        </w:tc>
        <w:tc>
          <w:tcPr>
            <w:tcW w:type="dxa" w:w="1440"/>
          </w:tcPr>
          <w:p>
            <w:r>
              <w:rPr>
                <w:rFonts w:ascii="Times New Roman" w:hAnsi="Times New Roman" w:eastAsia="微软雅黑"/>
              </w:rPr>
              <w:t>129.3</w:t>
            </w:r>
          </w:p>
        </w:tc>
        <w:tc>
          <w:tcPr>
            <w:tcW w:type="dxa" w:w="1440"/>
          </w:tcPr>
          <w:p>
            <w:r>
              <w:rPr>
                <w:rFonts w:ascii="Times New Roman" w:hAnsi="Times New Roman" w:eastAsia="微软雅黑"/>
              </w:rPr>
              <w:t>0.610</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3.8</w:t>
            </w:r>
          </w:p>
        </w:tc>
      </w:tr>
      <w:tr>
        <w:tc>
          <w:tcPr>
            <w:tcW w:type="dxa" w:w="1440"/>
          </w:tcPr>
          <w:p>
            <w:r>
              <w:rPr>
                <w:rFonts w:ascii="Times New Roman" w:hAnsi="Times New Roman" w:eastAsia="微软雅黑"/>
              </w:rPr>
              <w:t>12</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169.5</w:t>
            </w:r>
          </w:p>
        </w:tc>
        <w:tc>
          <w:tcPr>
            <w:tcW w:type="dxa" w:w="1440"/>
          </w:tcPr>
          <w:p>
            <w:r>
              <w:rPr>
                <w:rFonts w:ascii="Times New Roman" w:hAnsi="Times New Roman" w:eastAsia="微软雅黑"/>
              </w:rPr>
              <w:t>0.592</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0.2</w:t>
            </w:r>
          </w:p>
        </w:tc>
      </w:tr>
      <w:tr>
        <w:tc>
          <w:tcPr>
            <w:tcW w:type="dxa" w:w="1440"/>
          </w:tcPr>
          <w:p>
            <w:r>
              <w:rPr>
                <w:rFonts w:ascii="Times New Roman" w:hAnsi="Times New Roman" w:eastAsia="微软雅黑"/>
              </w:rPr>
              <w:t>13</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176.0</w:t>
            </w:r>
          </w:p>
        </w:tc>
        <w:tc>
          <w:tcPr>
            <w:tcW w:type="dxa" w:w="1440"/>
          </w:tcPr>
          <w:p>
            <w:r>
              <w:rPr>
                <w:rFonts w:ascii="Times New Roman" w:hAnsi="Times New Roman" w:eastAsia="微软雅黑"/>
              </w:rPr>
              <w:t>0.591</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12.1</w:t>
            </w:r>
          </w:p>
        </w:tc>
      </w:tr>
      <w:tr>
        <w:tc>
          <w:tcPr>
            <w:tcW w:type="dxa" w:w="1440"/>
          </w:tcPr>
          <w:p>
            <w:r>
              <w:rPr>
                <w:rFonts w:ascii="Times New Roman" w:hAnsi="Times New Roman" w:eastAsia="微软雅黑"/>
              </w:rPr>
              <w:t>14</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193.4</w:t>
            </w:r>
          </w:p>
        </w:tc>
        <w:tc>
          <w:tcPr>
            <w:tcW w:type="dxa" w:w="1440"/>
          </w:tcPr>
          <w:p>
            <w:r>
              <w:rPr>
                <w:rFonts w:ascii="Times New Roman" w:hAnsi="Times New Roman" w:eastAsia="微软雅黑"/>
              </w:rPr>
              <w:t>0.598</w:t>
            </w:r>
          </w:p>
        </w:tc>
        <w:tc>
          <w:tcPr>
            <w:tcW w:type="dxa" w:w="1440"/>
          </w:tcPr>
          <w:p>
            <w:r>
              <w:rPr>
                <w:rFonts w:ascii="Times New Roman" w:hAnsi="Times New Roman" w:eastAsia="微软雅黑"/>
              </w:rPr>
              <w:t>3/4</w:t>
            </w:r>
          </w:p>
        </w:tc>
        <w:tc>
          <w:tcPr>
            <w:tcW w:type="dxa" w:w="1440"/>
          </w:tcPr>
          <w:p>
            <w:r>
              <w:rPr>
                <w:rFonts w:ascii="Times New Roman" w:hAnsi="Times New Roman" w:eastAsia="微软雅黑"/>
              </w:rPr>
              <w:t>13.7</w:t>
            </w:r>
          </w:p>
        </w:tc>
      </w:tr>
      <w:tr>
        <w:tc>
          <w:tcPr>
            <w:tcW w:type="dxa" w:w="1440"/>
          </w:tcPr>
          <w:p>
            <w:r>
              <w:rPr>
                <w:rFonts w:ascii="Times New Roman" w:hAnsi="Times New Roman" w:eastAsia="微软雅黑"/>
              </w:rPr>
              <w:t>15</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163.4</w:t>
            </w:r>
          </w:p>
        </w:tc>
        <w:tc>
          <w:tcPr>
            <w:tcW w:type="dxa" w:w="1440"/>
          </w:tcPr>
          <w:p>
            <w:r>
              <w:rPr>
                <w:rFonts w:ascii="Times New Roman" w:hAnsi="Times New Roman" w:eastAsia="微软雅黑"/>
              </w:rPr>
              <w:t>0.591</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3.6</w:t>
            </w:r>
          </w:p>
        </w:tc>
      </w:tr>
      <w:tr>
        <w:tc>
          <w:tcPr>
            <w:tcW w:type="dxa" w:w="1440"/>
          </w:tcPr>
          <w:p>
            <w:r>
              <w:rPr>
                <w:rFonts w:ascii="Times New Roman" w:hAnsi="Times New Roman" w:eastAsia="微软雅黑"/>
              </w:rPr>
              <w:t>16</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142.8</w:t>
            </w:r>
          </w:p>
        </w:tc>
        <w:tc>
          <w:tcPr>
            <w:tcW w:type="dxa" w:w="1440"/>
          </w:tcPr>
          <w:p>
            <w:r>
              <w:rPr>
                <w:rFonts w:ascii="Times New Roman" w:hAnsi="Times New Roman" w:eastAsia="微软雅黑"/>
              </w:rPr>
              <w:t>0.582</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10.5</w:t>
            </w:r>
          </w:p>
        </w:tc>
      </w:tr>
      <w:tr>
        <w:tc>
          <w:tcPr>
            <w:tcW w:type="dxa" w:w="1440"/>
          </w:tcPr>
          <w:p>
            <w:r>
              <w:rPr>
                <w:rFonts w:ascii="Times New Roman" w:hAnsi="Times New Roman" w:eastAsia="微软雅黑"/>
              </w:rPr>
              <w:t>17</w:t>
            </w:r>
          </w:p>
        </w:tc>
        <w:tc>
          <w:tcPr>
            <w:tcW w:type="dxa" w:w="1440"/>
          </w:tcPr>
          <w:p>
            <w:r>
              <w:rPr>
                <w:rFonts w:ascii="Times New Roman" w:hAnsi="Times New Roman" w:eastAsia="微软雅黑"/>
              </w:rPr>
              <w:t>high</w:t>
            </w:r>
          </w:p>
        </w:tc>
        <w:tc>
          <w:tcPr>
            <w:tcW w:type="dxa" w:w="1440"/>
          </w:tcPr>
          <w:p>
            <w:r>
              <w:rPr>
                <w:rFonts w:ascii="Times New Roman" w:hAnsi="Times New Roman" w:eastAsia="微软雅黑"/>
              </w:rPr>
              <w:t>197.6</w:t>
            </w:r>
          </w:p>
        </w:tc>
        <w:tc>
          <w:tcPr>
            <w:tcW w:type="dxa" w:w="1440"/>
          </w:tcPr>
          <w:p>
            <w:r>
              <w:rPr>
                <w:rFonts w:ascii="Times New Roman" w:hAnsi="Times New Roman" w:eastAsia="微软雅黑"/>
              </w:rPr>
              <w:t>0.583</w:t>
            </w:r>
          </w:p>
        </w:tc>
        <w:tc>
          <w:tcPr>
            <w:tcW w:type="dxa" w:w="1440"/>
          </w:tcPr>
          <w:p>
            <w:r>
              <w:rPr>
                <w:rFonts w:ascii="Times New Roman" w:hAnsi="Times New Roman" w:eastAsia="微软雅黑"/>
              </w:rPr>
              <w:t>4/4</w:t>
            </w:r>
          </w:p>
        </w:tc>
        <w:tc>
          <w:tcPr>
            <w:tcW w:type="dxa" w:w="1440"/>
          </w:tcPr>
          <w:p>
            <w:r>
              <w:rPr>
                <w:rFonts w:ascii="Times New Roman" w:hAnsi="Times New Roman" w:eastAsia="微软雅黑"/>
              </w:rPr>
              <w:t>5.4</w:t>
            </w:r>
          </w:p>
        </w:tc>
      </w:tr>
    </w:tbl>
    <w:p/>
    <w:p>
      <w:r>
        <w:rPr>
          <w:rFonts w:ascii="Times New Roman" w:hAnsi="Times New Roman" w:eastAsia="微软雅黑"/>
        </w:rPr>
        <w:t xml:space="preserve"> Overall: acceptance 0.58-0.62 (mean 0.60); 90%-CI coverage 66/72 = 0.917; posterior-mean stress MAE = 10.4 MPa over 102-198 MPa range.</w:t>
      </w:r>
    </w:p>
    <w:p>
      <w:r>
        <w:rPr>
          <w:rFonts w:ascii="Times New Roman" w:hAnsi="Times New Roman" w:eastAsia="微软雅黑"/>
        </w:rPr>
        <w:t xml:space="preserve"> 总体：接受率 0.58-0.62（均值 0.60）；90%-CI 覆盖率 66/72 = 0.917；后验均值应力 MAE = 10.4 MPa，真实应力范围 102-198 MPa。</w:t>
      </w:r>
    </w:p>
    <w:p>
      <w:pPr>
        <w:pStyle w:val="Heading2"/>
      </w:pPr>
      <w:r>
        <w:t>Table S6 | External baseline comparison. 表 S6 | 外部基线对比。</w:t>
      </w:r>
    </w:p>
    <w:p>
      <w:r>
        <w:rPr>
          <w:rFonts w:ascii="Times New Roman" w:hAnsi="Times New Roman" w:eastAsia="微软雅黑"/>
        </w:rPr>
        <w:t>See Table S10 for the full external baseline comparison. 完整外部基线对比见表 S10。</w:t>
      </w:r>
    </w:p>
    <w:p>
      <w:pPr>
        <w:pStyle w:val="Heading2"/>
      </w:pPr>
      <w:r>
        <w:t>Table S7 | Computational cost breakdown. 表 S7 | 计算成本分解。</w:t>
      </w:r>
    </w:p>
    <w:p>
      <w:r>
        <w:rPr>
          <w:rFonts w:ascii="Times New Roman" w:hAnsi="Times New Roman" w:eastAsia="微软雅黑"/>
          <w:i/>
          <w:color w:val="0055AA"/>
          <w:sz w:val="20"/>
        </w:rPr>
        <w:t>[Source: results/speed/budget_matched_risk.csv]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Operation</w:t>
            </w:r>
          </w:p>
        </w:tc>
        <w:tc>
          <w:tcPr>
            <w:tcW w:type="dxa" w:w="2880"/>
          </w:tcPr>
          <w:p>
            <w:r>
              <w:rPr>
                <w:rFonts w:ascii="Times New Roman" w:hAnsi="Times New Roman" w:eastAsia="微软雅黑"/>
                <w:b/>
              </w:rPr>
              <w:t>Time</w:t>
            </w:r>
          </w:p>
        </w:tc>
        <w:tc>
          <w:tcPr>
            <w:tcW w:type="dxa" w:w="2880"/>
          </w:tcPr>
          <w:p>
            <w:r>
              <w:rPr>
                <w:rFonts w:ascii="Times New Roman" w:hAnsi="Times New Roman" w:eastAsia="微软雅黑"/>
                <w:b/>
              </w:rPr>
              <w:t>Platform</w:t>
            </w:r>
          </w:p>
        </w:tc>
      </w:tr>
      <w:tr>
        <w:tc>
          <w:tcPr>
            <w:tcW w:type="dxa" w:w="2880"/>
          </w:tcPr>
          <w:p>
            <w:r>
              <w:rPr>
                <w:rFonts w:ascii="Times New Roman" w:hAnsi="Times New Roman" w:eastAsia="微软雅黑"/>
              </w:rPr>
              <w:t>Coupled HF solve (1 case)</w:t>
            </w:r>
          </w:p>
        </w:tc>
        <w:tc>
          <w:tcPr>
            <w:tcW w:type="dxa" w:w="2880"/>
          </w:tcPr>
          <w:p>
            <w:r>
              <w:rPr>
                <w:rFonts w:ascii="Times New Roman" w:hAnsi="Times New Roman" w:eastAsia="微软雅黑"/>
              </w:rPr>
              <w:t>2266 s</w:t>
            </w:r>
          </w:p>
        </w:tc>
        <w:tc>
          <w:tcPr>
            <w:tcW w:type="dxa" w:w="2880"/>
          </w:tcPr>
          <w:p>
            <w:r>
              <w:rPr>
                <w:rFonts w:ascii="Times New Roman" w:hAnsi="Times New Roman" w:eastAsia="微软雅黑"/>
              </w:rPr>
              <w:t>EPYC 9654 / 96 cores</w:t>
            </w:r>
          </w:p>
        </w:tc>
      </w:tr>
      <w:tr>
        <w:tc>
          <w:tcPr>
            <w:tcW w:type="dxa" w:w="2880"/>
          </w:tcPr>
          <w:p>
            <w:r>
              <w:rPr>
                <w:rFonts w:ascii="Times New Roman" w:hAnsi="Times New Roman" w:eastAsia="微软雅黑"/>
              </w:rPr>
              <w:t>BNN single draw (M=50)</w:t>
            </w:r>
          </w:p>
        </w:tc>
        <w:tc>
          <w:tcPr>
            <w:tcW w:type="dxa" w:w="2880"/>
          </w:tcPr>
          <w:p>
            <w:r>
              <w:rPr>
                <w:rFonts w:ascii="Times New Roman" w:hAnsi="Times New Roman" w:eastAsia="微软雅黑"/>
              </w:rPr>
              <w:t>1.29e-2 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BNN batched (batch=1024, per sample)</w:t>
            </w:r>
          </w:p>
        </w:tc>
        <w:tc>
          <w:tcPr>
            <w:tcW w:type="dxa" w:w="2880"/>
          </w:tcPr>
          <w:p>
            <w:r>
              <w:rPr>
                <w:rFonts w:ascii="Times New Roman" w:hAnsi="Times New Roman" w:eastAsia="微软雅黑"/>
              </w:rPr>
              <w:t>1.34e-5 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20,000-sample forward UQ</w:t>
            </w:r>
          </w:p>
        </w:tc>
        <w:tc>
          <w:tcPr>
            <w:tcW w:type="dxa" w:w="2880"/>
          </w:tcPr>
          <w:p>
            <w:r>
              <w:rPr>
                <w:rFonts w:ascii="Times New Roman" w:hAnsi="Times New Roman" w:eastAsia="微软雅黑"/>
              </w:rPr>
              <w:t>~0.3 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Sobol (50 reps x 40,960 evals)</w:t>
            </w:r>
          </w:p>
        </w:tc>
        <w:tc>
          <w:tcPr>
            <w:tcW w:type="dxa" w:w="2880"/>
          </w:tcPr>
          <w:p>
            <w:r>
              <w:rPr>
                <w:rFonts w:ascii="Times New Roman" w:hAnsi="Times New Roman" w:eastAsia="微软雅黑"/>
              </w:rPr>
              <w:t>~minutes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18-case MCMC (8000 iter x 4 chains)</w:t>
            </w:r>
          </w:p>
        </w:tc>
        <w:tc>
          <w:tcPr>
            <w:tcW w:type="dxa" w:w="2880"/>
          </w:tcPr>
          <w:p>
            <w:r>
              <w:rPr>
                <w:rFonts w:ascii="Times New Roman" w:hAnsi="Times New Roman" w:eastAsia="微软雅黑"/>
              </w:rPr>
              <w:t>~minutes</w:t>
            </w:r>
          </w:p>
        </w:tc>
        <w:tc>
          <w:tcPr>
            <w:tcW w:type="dxa" w:w="2880"/>
          </w:tcPr>
          <w:p>
            <w:r>
              <w:rPr>
                <w:rFonts w:ascii="Times New Roman" w:hAnsi="Times New Roman" w:eastAsia="微软雅黑"/>
              </w:rPr>
              <w:t>GPU</w:t>
            </w:r>
          </w:p>
        </w:tc>
      </w:tr>
      <w:tr>
        <w:tc>
          <w:tcPr>
            <w:tcW w:type="dxa" w:w="2880"/>
          </w:tcPr>
          <w:p>
            <w:r>
              <w:rPr>
                <w:rFonts w:ascii="Times New Roman" w:hAnsi="Times New Roman" w:eastAsia="微软雅黑"/>
              </w:rPr>
              <w:t>Speedup (single draw vs HF)</w:t>
            </w:r>
          </w:p>
        </w:tc>
        <w:tc>
          <w:tcPr>
            <w:tcW w:type="dxa" w:w="2880"/>
          </w:tcPr>
          <w:p>
            <w:r>
              <w:rPr>
                <w:rFonts w:ascii="Times New Roman" w:hAnsi="Times New Roman" w:eastAsia="微软雅黑"/>
              </w:rPr>
              <w:t>1.76e5</w:t>
            </w:r>
          </w:p>
        </w:tc>
        <w:tc>
          <w:tcPr>
            <w:tcW w:type="dxa" w:w="2880"/>
          </w:tcPr>
          <w:p/>
        </w:tc>
      </w:tr>
      <w:tr>
        <w:tc>
          <w:tcPr>
            <w:tcW w:type="dxa" w:w="2880"/>
          </w:tcPr>
          <w:p>
            <w:r>
              <w:rPr>
                <w:rFonts w:ascii="Times New Roman" w:hAnsi="Times New Roman" w:eastAsia="微软雅黑"/>
              </w:rPr>
              <w:t>Speedup (batched vs HF)</w:t>
            </w:r>
          </w:p>
        </w:tc>
        <w:tc>
          <w:tcPr>
            <w:tcW w:type="dxa" w:w="2880"/>
          </w:tcPr>
          <w:p>
            <w:r>
              <w:rPr>
                <w:rFonts w:ascii="Times New Roman" w:hAnsi="Times New Roman" w:eastAsia="微软雅黑"/>
              </w:rPr>
              <w:t>1.69e8</w:t>
            </w:r>
          </w:p>
        </w:tc>
        <w:tc>
          <w:tcPr>
            <w:tcW w:type="dxa" w:w="2880"/>
          </w:tcPr>
          <w:p/>
        </w:tc>
      </w:tr>
    </w:tbl>
    <w:p/>
    <w:p>
      <w:pPr>
        <w:pStyle w:val="Heading2"/>
      </w:pPr>
      <w:r>
        <w:t>Table S8 | Physics consistency: monotonicity violation rates on primary outputs (435 test samples, discrete +/-delta perturbation test). 表 S8 | 物理一致性：主要输出的单调性违反率（435 个测试样本，离散 +/-delta 扰动测试）。</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微软雅黑"/>
                <w:b/>
              </w:rPr>
              <w:t>Physics pair (input -&gt; output, sign)</w:t>
            </w:r>
          </w:p>
        </w:tc>
        <w:tc>
          <w:tcPr>
            <w:tcW w:type="dxa" w:w="1728"/>
          </w:tcPr>
          <w:p>
            <w:r>
              <w:rPr>
                <w:rFonts w:ascii="Times New Roman" w:hAnsi="Times New Roman" w:eastAsia="微软雅黑"/>
                <w:b/>
              </w:rPr>
              <w:t>Ref. BNN</w:t>
            </w:r>
          </w:p>
        </w:tc>
        <w:tc>
          <w:tcPr>
            <w:tcW w:type="dxa" w:w="1728"/>
          </w:tcPr>
          <w:p>
            <w:r>
              <w:rPr>
                <w:rFonts w:ascii="Times New Roman" w:hAnsi="Times New Roman" w:eastAsia="微软雅黑"/>
                <w:b/>
              </w:rPr>
              <w:t>Data-mono</w:t>
            </w:r>
          </w:p>
        </w:tc>
        <w:tc>
          <w:tcPr>
            <w:tcW w:type="dxa" w:w="1728"/>
          </w:tcPr>
          <w:p>
            <w:r>
              <w:rPr>
                <w:rFonts w:ascii="Times New Roman" w:hAnsi="Times New Roman" w:eastAsia="微软雅黑"/>
                <w:b/>
              </w:rPr>
              <w:t>Phy-reg</w:t>
            </w:r>
          </w:p>
        </w:tc>
        <w:tc>
          <w:tcPr>
            <w:tcW w:type="dxa" w:w="1728"/>
          </w:tcPr>
          <w:p>
            <w:r>
              <w:rPr>
                <w:rFonts w:ascii="Times New Roman" w:hAnsi="Times New Roman" w:eastAsia="微软雅黑"/>
                <w:b/>
              </w:rPr>
              <w:t>Data+ineq</w:t>
            </w:r>
          </w:p>
        </w:tc>
      </w:tr>
      <w:tr>
        <w:tc>
          <w:tcPr>
            <w:tcW w:type="dxa" w:w="1728"/>
          </w:tcPr>
          <w:p>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-&gt; Max stress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-&gt; Max stress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-&gt;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r>
      <w:tr>
        <w:tc>
          <w:tcPr>
            <w:tcW w:type="dxa" w:w="1728"/>
          </w:tcPr>
          <w:p>
            <w:r>
              <w:rPr>
                <w:rFonts w:ascii="Times New Roman" w:hAnsi="Times New Roman" w:eastAsia="微软雅黑"/>
              </w:rPr>
              <w:t>SS316_k_ref -&gt; Max stress (-)</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0%</w:t>
            </w:r>
          </w:p>
        </w:tc>
        <w:tc>
          <w:tcPr>
            <w:tcW w:type="dxa" w:w="1728"/>
          </w:tcPr>
          <w:p>
            <w:r>
              <w:rPr>
                <w:rFonts w:ascii="Times New Roman" w:hAnsi="Times New Roman" w:eastAsia="微软雅黑"/>
              </w:rPr>
              <w:t>1.1%</w:t>
            </w:r>
          </w:p>
        </w:tc>
      </w:tr>
      <w:tr>
        <w:tc>
          <w:tcPr>
            <w:tcW w:type="dxa" w:w="1728"/>
          </w:tcPr>
          <w:p>
            <w:r>
              <w:rPr>
                <w:rFonts w:ascii="Times New Roman" w:hAnsi="Times New Roman" w:eastAsia="微软雅黑"/>
              </w:rPr>
              <w:t>SS316_alpha -&gt; Max fuel temp (-)</w:t>
            </w:r>
          </w:p>
        </w:tc>
        <w:tc>
          <w:tcPr>
            <w:tcW w:type="dxa" w:w="1728"/>
          </w:tcPr>
          <w:p>
            <w:r>
              <w:rPr>
                <w:rFonts w:ascii="Times New Roman" w:hAnsi="Times New Roman" w:eastAsia="微软雅黑"/>
              </w:rPr>
              <w:t>36.3%</w:t>
            </w:r>
          </w:p>
        </w:tc>
        <w:tc>
          <w:tcPr>
            <w:tcW w:type="dxa" w:w="1728"/>
          </w:tcPr>
          <w:p>
            <w:r>
              <w:rPr>
                <w:rFonts w:ascii="Times New Roman" w:hAnsi="Times New Roman" w:eastAsia="微软雅黑"/>
              </w:rPr>
              <w:t>39.5%</w:t>
            </w:r>
          </w:p>
        </w:tc>
        <w:tc>
          <w:tcPr>
            <w:tcW w:type="dxa" w:w="1728"/>
          </w:tcPr>
          <w:p>
            <w:r>
              <w:rPr>
                <w:rFonts w:ascii="Times New Roman" w:hAnsi="Times New Roman" w:eastAsia="微软雅黑"/>
              </w:rPr>
              <w:t>35.6%</w:t>
            </w:r>
          </w:p>
        </w:tc>
        <w:tc>
          <w:tcPr>
            <w:tcW w:type="dxa" w:w="1728"/>
          </w:tcPr>
          <w:p>
            <w:r>
              <w:rPr>
                <w:rFonts w:ascii="Times New Roman" w:hAnsi="Times New Roman" w:eastAsia="微软雅黑"/>
              </w:rPr>
              <w:t>53.6%</w:t>
            </w:r>
          </w:p>
        </w:tc>
      </w:tr>
    </w:tbl>
    <w:p/>
    <w:p>
      <w:r>
        <w:rPr>
          <w:rFonts w:ascii="Times New Roman" w:hAnsi="Times New Roman" w:eastAsia="微软雅黑"/>
        </w:rPr>
        <w:t>所有高置信度对均为 0% 违反。SS316_alpha -&gt; 燃料温度为中等置信度对， 36-54% 违反反映较弱的物理关系。不等式约束：四种 BNN 变体均为 0% 违反。</w:t>
      </w:r>
    </w:p>
    <w:p>
      <w:pPr>
        <w:pStyle w:val="Heading2"/>
      </w:pPr>
      <w:r>
        <w:t>Table S9 | Epistemic vs aleatoric uncertainty decomposition. 表 S9 | 认知与偶然不确定性分解。</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Output</w:t>
            </w:r>
          </w:p>
        </w:tc>
        <w:tc>
          <w:tcPr>
            <w:tcW w:type="dxa" w:w="2880"/>
          </w:tcPr>
          <w:p>
            <w:r>
              <w:rPr>
                <w:rFonts w:ascii="Times New Roman" w:hAnsi="Times New Roman" w:eastAsia="微软雅黑"/>
                <w:b/>
              </w:rPr>
              <w:t>Ref. BNN (Epi%/Ale%)</w:t>
            </w:r>
          </w:p>
        </w:tc>
        <w:tc>
          <w:tcPr>
            <w:tcW w:type="dxa" w:w="2880"/>
          </w:tcPr>
          <w:p>
            <w:r>
              <w:rPr>
                <w:rFonts w:ascii="Times New Roman" w:hAnsi="Times New Roman" w:eastAsia="微软雅黑"/>
                <w:b/>
              </w:rPr>
              <w:t>Phy-reg BNN (Epi%/Ale%)</w:t>
            </w:r>
          </w:p>
        </w:tc>
      </w:tr>
      <w:tr>
        <w:tc>
          <w:tcPr>
            <w:tcW w:type="dxa" w:w="2880"/>
          </w:tcPr>
          <w:p>
            <w:r>
              <w:rPr>
                <w:rFonts w:ascii="Times New Roman" w:hAnsi="Times New Roman" w:eastAsia="微软雅黑"/>
                <w:i/>
              </w:rPr>
              <w:t>k</w:t>
            </w:r>
            <w:r>
              <w:rPr>
                <w:rFonts w:ascii="Times New Roman" w:hAnsi="Times New Roman" w:eastAsia="微软雅黑"/>
                <w:vertAlign w:val="subscript"/>
              </w:rPr>
              <w:t>eff</w:t>
            </w:r>
          </w:p>
        </w:tc>
        <w:tc>
          <w:tcPr>
            <w:tcW w:type="dxa" w:w="2880"/>
          </w:tcPr>
          <w:p>
            <w:r>
              <w:rPr>
                <w:rFonts w:ascii="Times New Roman" w:hAnsi="Times New Roman" w:eastAsia="微软雅黑"/>
              </w:rPr>
              <w:t>12.0 / 88.0</w:t>
            </w:r>
          </w:p>
        </w:tc>
        <w:tc>
          <w:tcPr>
            <w:tcW w:type="dxa" w:w="2880"/>
          </w:tcPr>
          <w:p>
            <w:r>
              <w:rPr>
                <w:rFonts w:ascii="Times New Roman" w:hAnsi="Times New Roman" w:eastAsia="微软雅黑"/>
              </w:rPr>
              <w:t>10.2 / 89.8</w:t>
            </w:r>
          </w:p>
        </w:tc>
      </w:tr>
      <w:tr>
        <w:tc>
          <w:tcPr>
            <w:tcW w:type="dxa" w:w="2880"/>
          </w:tcPr>
          <w:p>
            <w:r>
              <w:rPr>
                <w:rFonts w:ascii="Times New Roman" w:hAnsi="Times New Roman" w:eastAsia="微软雅黑"/>
              </w:rPr>
              <w:t>Max fuel temp</w:t>
            </w:r>
          </w:p>
        </w:tc>
        <w:tc>
          <w:tcPr>
            <w:tcW w:type="dxa" w:w="2880"/>
          </w:tcPr>
          <w:p>
            <w:r>
              <w:rPr>
                <w:rFonts w:ascii="Times New Roman" w:hAnsi="Times New Roman" w:eastAsia="微软雅黑"/>
              </w:rPr>
              <w:t>12.0 / 88.0</w:t>
            </w:r>
          </w:p>
        </w:tc>
        <w:tc>
          <w:tcPr>
            <w:tcW w:type="dxa" w:w="2880"/>
          </w:tcPr>
          <w:p>
            <w:r>
              <w:rPr>
                <w:rFonts w:ascii="Times New Roman" w:hAnsi="Times New Roman" w:eastAsia="微软雅黑"/>
              </w:rPr>
              <w:t>10.1 / 89.9</w:t>
            </w:r>
          </w:p>
        </w:tc>
      </w:tr>
      <w:tr>
        <w:tc>
          <w:tcPr>
            <w:tcW w:type="dxa" w:w="2880"/>
          </w:tcPr>
          <w:p>
            <w:r>
              <w:rPr>
                <w:rFonts w:ascii="Times New Roman" w:hAnsi="Times New Roman" w:eastAsia="微软雅黑"/>
              </w:rPr>
              <w:t>Max stress</w:t>
            </w:r>
          </w:p>
        </w:tc>
        <w:tc>
          <w:tcPr>
            <w:tcW w:type="dxa" w:w="2880"/>
          </w:tcPr>
          <w:p>
            <w:r>
              <w:rPr>
                <w:rFonts w:ascii="Times New Roman" w:hAnsi="Times New Roman" w:eastAsia="微软雅黑"/>
              </w:rPr>
              <w:t>27.7 / 72.3</w:t>
            </w:r>
          </w:p>
        </w:tc>
        <w:tc>
          <w:tcPr>
            <w:tcW w:type="dxa" w:w="2880"/>
          </w:tcPr>
          <w:p>
            <w:r>
              <w:rPr>
                <w:rFonts w:ascii="Times New Roman" w:hAnsi="Times New Roman" w:eastAsia="微软雅黑"/>
              </w:rPr>
              <w:t>29.6 / 70.4</w:t>
            </w:r>
          </w:p>
        </w:tc>
      </w:tr>
      <w:tr>
        <w:tc>
          <w:tcPr>
            <w:tcW w:type="dxa" w:w="2880"/>
          </w:tcPr>
          <w:p>
            <w:r>
              <w:rPr>
                <w:rFonts w:ascii="Times New Roman" w:hAnsi="Times New Roman" w:eastAsia="微软雅黑"/>
              </w:rPr>
              <w:t>Wall expansion</w:t>
            </w:r>
          </w:p>
        </w:tc>
        <w:tc>
          <w:tcPr>
            <w:tcW w:type="dxa" w:w="2880"/>
          </w:tcPr>
          <w:p>
            <w:r>
              <w:rPr>
                <w:rFonts w:ascii="Times New Roman" w:hAnsi="Times New Roman" w:eastAsia="微软雅黑"/>
              </w:rPr>
              <w:t>34.1 / 65.9</w:t>
            </w:r>
          </w:p>
        </w:tc>
        <w:tc>
          <w:tcPr>
            <w:tcW w:type="dxa" w:w="2880"/>
          </w:tcPr>
          <w:p>
            <w:r>
              <w:rPr>
                <w:rFonts w:ascii="Times New Roman" w:hAnsi="Times New Roman" w:eastAsia="微软雅黑"/>
              </w:rPr>
              <w:t>41.7 / 58.3</w:t>
            </w:r>
          </w:p>
        </w:tc>
      </w:tr>
    </w:tbl>
    <w:p/>
    <w:p>
      <w:r>
        <w:rPr>
          <w:rFonts w:ascii="Times New Roman" w:hAnsi="Times New Roman" w:eastAsia="微软雅黑"/>
        </w:rPr>
        <w:t>偶然不确定性在所有输出上占主导（58-90%）。</w:t>
      </w:r>
    </w:p>
    <w:p>
      <w:pPr>
        <w:pStyle w:val="Heading2"/>
      </w:pPr>
      <w:r>
        <w:t>Table S10 | External baseline: full scoring rules comparison. 表 S10 | 外部基线：完整评分规则对比。</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微软雅黑"/>
                <w:b/>
              </w:rPr>
              <w:t>Model</w:t>
            </w:r>
          </w:p>
        </w:tc>
        <w:tc>
          <w:tcPr>
            <w:tcW w:type="dxa" w:w="1440"/>
          </w:tcPr>
          <w:p>
            <w:r>
              <w:rPr>
                <w:rFonts w:ascii="Times New Roman" w:hAnsi="Times New Roman" w:eastAsia="微软雅黑"/>
                <w:b/>
              </w:rPr>
              <w:t>Output</w:t>
            </w:r>
          </w:p>
        </w:tc>
        <w:tc>
          <w:tcPr>
            <w:tcW w:type="dxa" w:w="1440"/>
          </w:tcPr>
          <w:p>
            <w:r>
              <w:rPr>
                <w:rFonts w:ascii="Times New Roman" w:hAnsi="Times New Roman" w:eastAsia="微软雅黑"/>
                <w:b/>
              </w:rPr>
              <w:t>RMSE</w:t>
            </w:r>
          </w:p>
        </w:tc>
        <w:tc>
          <w:tcPr>
            <w:tcW w:type="dxa" w:w="1440"/>
          </w:tcPr>
          <w:p>
            <w:r>
              <w:rPr>
                <w:rFonts w:ascii="Times New Roman" w:hAnsi="Times New Roman" w:eastAsia="微软雅黑"/>
                <w:b/>
                <w:i/>
              </w:rPr>
              <w:t>R</w:t>
            </w:r>
            <w:r>
              <w:rPr>
                <w:rFonts w:ascii="Times New Roman" w:hAnsi="Times New Roman" w:eastAsia="微软雅黑"/>
                <w:b/>
                <w:vertAlign w:val="superscript"/>
              </w:rPr>
              <w:t>2</w:t>
            </w:r>
          </w:p>
        </w:tc>
        <w:tc>
          <w:tcPr>
            <w:tcW w:type="dxa" w:w="1440"/>
          </w:tcPr>
          <w:p>
            <w:r>
              <w:rPr>
                <w:rFonts w:ascii="Times New Roman" w:hAnsi="Times New Roman" w:eastAsia="微软雅黑"/>
                <w:b/>
              </w:rPr>
              <w:t>CRPS</w:t>
            </w:r>
          </w:p>
        </w:tc>
        <w:tc>
          <w:tcPr>
            <w:tcW w:type="dxa" w:w="1440"/>
          </w:tcPr>
          <w:p>
            <w:r>
              <w:rPr>
                <w:rFonts w:ascii="Times New Roman" w:hAnsi="Times New Roman" w:eastAsia="微软雅黑"/>
                <w:b/>
              </w:rPr>
              <w:t>ECE</w:t>
            </w:r>
          </w:p>
        </w:tc>
      </w:tr>
      <w:tr>
        <w:tc>
          <w:tcPr>
            <w:tcW w:type="dxa" w:w="1440"/>
          </w:tcPr>
          <w:p>
            <w:r>
              <w:rPr>
                <w:rFonts w:ascii="Times New Roman" w:hAnsi="Times New Roman" w:eastAsia="微软雅黑"/>
              </w:rPr>
              <w:t>MC-Dropout</w:t>
            </w:r>
          </w:p>
        </w:tc>
        <w:tc>
          <w:tcPr>
            <w:tcW w:type="dxa" w:w="1440"/>
          </w:tcPr>
          <w:p>
            <w:r>
              <w:rPr>
                <w:rFonts w:ascii="Times New Roman" w:hAnsi="Times New Roman" w:eastAsia="微软雅黑"/>
              </w:rPr>
              <w:t>Fuel temp</w:t>
            </w:r>
          </w:p>
        </w:tc>
        <w:tc>
          <w:tcPr>
            <w:tcW w:type="dxa" w:w="1440"/>
          </w:tcPr>
          <w:p>
            <w:r>
              <w:rPr>
                <w:rFonts w:ascii="Times New Roman" w:hAnsi="Times New Roman" w:eastAsia="微软雅黑"/>
              </w:rPr>
              <w:t>4.497</w:t>
            </w:r>
          </w:p>
        </w:tc>
        <w:tc>
          <w:tcPr>
            <w:tcW w:type="dxa" w:w="1440"/>
          </w:tcPr>
          <w:p>
            <w:r>
              <w:rPr>
                <w:rFonts w:ascii="Times New Roman" w:hAnsi="Times New Roman" w:eastAsia="微软雅黑"/>
              </w:rPr>
              <w:t>0.590</w:t>
            </w:r>
          </w:p>
        </w:tc>
        <w:tc>
          <w:tcPr>
            <w:tcW w:type="dxa" w:w="1440"/>
          </w:tcPr>
          <w:p>
            <w:r>
              <w:rPr>
                <w:rFonts w:ascii="Times New Roman" w:hAnsi="Times New Roman" w:eastAsia="微软雅黑"/>
              </w:rPr>
              <w:t>2.624</w:t>
            </w:r>
          </w:p>
        </w:tc>
        <w:tc>
          <w:tcPr>
            <w:tcW w:type="dxa" w:w="1440"/>
          </w:tcPr>
          <w:p>
            <w:r>
              <w:rPr>
                <w:rFonts w:ascii="Times New Roman" w:hAnsi="Times New Roman" w:eastAsia="微软雅黑"/>
              </w:rPr>
              <w:t>0.183</w:t>
            </w:r>
          </w:p>
        </w:tc>
      </w:tr>
      <w:tr>
        <w:tc>
          <w:tcPr>
            <w:tcW w:type="dxa" w:w="1440"/>
          </w:tcPr>
          <w:p>
            <w:r>
              <w:rPr>
                <w:rFonts w:ascii="Times New Roman" w:hAnsi="Times New Roman" w:eastAsia="微软雅黑"/>
              </w:rPr>
              <w:t>Max stress</w:t>
            </w:r>
          </w:p>
        </w:tc>
        <w:tc>
          <w:tcPr>
            <w:tcW w:type="dxa" w:w="1440"/>
          </w:tcPr>
          <w:p>
            <w:r>
              <w:rPr>
                <w:rFonts w:ascii="Times New Roman" w:hAnsi="Times New Roman" w:eastAsia="微软雅黑"/>
              </w:rPr>
              <w:t>7.659</w:t>
            </w:r>
          </w:p>
        </w:tc>
        <w:tc>
          <w:tcPr>
            <w:tcW w:type="dxa" w:w="1440"/>
          </w:tcPr>
          <w:p>
            <w:r>
              <w:rPr>
                <w:rFonts w:ascii="Times New Roman" w:hAnsi="Times New Roman" w:eastAsia="微软雅黑"/>
              </w:rPr>
              <w:t>0.934</w:t>
            </w:r>
          </w:p>
        </w:tc>
        <w:tc>
          <w:tcPr>
            <w:tcW w:type="dxa" w:w="1440"/>
          </w:tcPr>
          <w:p>
            <w:r>
              <w:rPr>
                <w:rFonts w:ascii="Times New Roman" w:hAnsi="Times New Roman" w:eastAsia="微软雅黑"/>
              </w:rPr>
              <w:t>4.519</w:t>
            </w:r>
          </w:p>
        </w:tc>
        <w:tc>
          <w:tcPr>
            <w:tcW w:type="dxa" w:w="1440"/>
          </w:tcPr>
          <w:p>
            <w:r>
              <w:rPr>
                <w:rFonts w:ascii="Times New Roman" w:hAnsi="Times New Roman" w:eastAsia="微软雅黑"/>
              </w:rPr>
              <w:t>0.118</w:t>
            </w:r>
          </w:p>
        </w:tc>
        <w:tc>
          <w:tcPr>
            <w:tcW w:type="dxa" w:w="1440"/>
          </w:tcPr>
          <w:p/>
        </w:tc>
      </w:tr>
      <w:tr>
        <w:tc>
          <w:tcPr>
            <w:tcW w:type="dxa" w:w="1440"/>
          </w:tcPr>
          <w:p>
            <w:r>
              <w:rPr>
                <w:rFonts w:ascii="Times New Roman" w:hAnsi="Times New Roman" w:eastAsia="微软雅黑"/>
              </w:rPr>
              <w:t>Deep Ensemble</w:t>
            </w:r>
          </w:p>
        </w:tc>
        <w:tc>
          <w:tcPr>
            <w:tcW w:type="dxa" w:w="1440"/>
          </w:tcPr>
          <w:p>
            <w:r>
              <w:rPr>
                <w:rFonts w:ascii="Times New Roman" w:hAnsi="Times New Roman" w:eastAsia="微软雅黑"/>
              </w:rPr>
              <w:t>Fuel temp</w:t>
            </w:r>
          </w:p>
        </w:tc>
        <w:tc>
          <w:tcPr>
            <w:tcW w:type="dxa" w:w="1440"/>
          </w:tcPr>
          <w:p>
            <w:r>
              <w:rPr>
                <w:rFonts w:ascii="Times New Roman" w:hAnsi="Times New Roman" w:eastAsia="微软雅黑"/>
              </w:rPr>
              <w:t>4.495</w:t>
            </w:r>
          </w:p>
        </w:tc>
        <w:tc>
          <w:tcPr>
            <w:tcW w:type="dxa" w:w="1440"/>
          </w:tcPr>
          <w:p>
            <w:r>
              <w:rPr>
                <w:rFonts w:ascii="Times New Roman" w:hAnsi="Times New Roman" w:eastAsia="微软雅黑"/>
              </w:rPr>
              <w:t>0.590</w:t>
            </w:r>
          </w:p>
        </w:tc>
        <w:tc>
          <w:tcPr>
            <w:tcW w:type="dxa" w:w="1440"/>
          </w:tcPr>
          <w:p>
            <w:r>
              <w:rPr>
                <w:rFonts w:ascii="Times New Roman" w:hAnsi="Times New Roman" w:eastAsia="微软雅黑"/>
              </w:rPr>
              <w:t>2.634</w:t>
            </w:r>
          </w:p>
        </w:tc>
        <w:tc>
          <w:tcPr>
            <w:tcW w:type="dxa" w:w="1440"/>
          </w:tcPr>
          <w:p>
            <w:r>
              <w:rPr>
                <w:rFonts w:ascii="Times New Roman" w:hAnsi="Times New Roman" w:eastAsia="微软雅黑"/>
              </w:rPr>
              <w:t>0.190</w:t>
            </w:r>
          </w:p>
        </w:tc>
      </w:tr>
      <w:tr>
        <w:tc>
          <w:tcPr>
            <w:tcW w:type="dxa" w:w="1440"/>
          </w:tcPr>
          <w:p>
            <w:r>
              <w:rPr>
                <w:rFonts w:ascii="Times New Roman" w:hAnsi="Times New Roman" w:eastAsia="微软雅黑"/>
              </w:rPr>
              <w:t>Max stress</w:t>
            </w:r>
          </w:p>
        </w:tc>
        <w:tc>
          <w:tcPr>
            <w:tcW w:type="dxa" w:w="1440"/>
          </w:tcPr>
          <w:p>
            <w:r>
              <w:rPr>
                <w:rFonts w:ascii="Times New Roman" w:hAnsi="Times New Roman" w:eastAsia="微软雅黑"/>
              </w:rPr>
              <w:t>7.644</w:t>
            </w:r>
          </w:p>
        </w:tc>
        <w:tc>
          <w:tcPr>
            <w:tcW w:type="dxa" w:w="1440"/>
          </w:tcPr>
          <w:p>
            <w:r>
              <w:rPr>
                <w:rFonts w:ascii="Times New Roman" w:hAnsi="Times New Roman" w:eastAsia="微软雅黑"/>
              </w:rPr>
              <w:t>0.934</w:t>
            </w:r>
          </w:p>
        </w:tc>
        <w:tc>
          <w:tcPr>
            <w:tcW w:type="dxa" w:w="1440"/>
          </w:tcPr>
          <w:p>
            <w:r>
              <w:rPr>
                <w:rFonts w:ascii="Times New Roman" w:hAnsi="Times New Roman" w:eastAsia="微软雅黑"/>
              </w:rPr>
              <w:t>4.502</w:t>
            </w:r>
          </w:p>
        </w:tc>
        <w:tc>
          <w:tcPr>
            <w:tcW w:type="dxa" w:w="1440"/>
          </w:tcPr>
          <w:p>
            <w:r>
              <w:rPr>
                <w:rFonts w:ascii="Times New Roman" w:hAnsi="Times New Roman" w:eastAsia="微软雅黑"/>
              </w:rPr>
              <w:t>0.112</w:t>
            </w:r>
          </w:p>
        </w:tc>
        <w:tc>
          <w:tcPr>
            <w:tcW w:type="dxa" w:w="1440"/>
          </w:tcPr>
          <w:p/>
        </w:tc>
      </w:tr>
    </w:tbl>
    <w:p/>
    <w:p>
      <w:r>
        <w:rPr>
          <w:rFonts w:ascii="Times New Roman" w:hAnsi="Times New Roman" w:eastAsia="微软雅黑"/>
        </w:rPr>
        <w:t>BNN 在温度校准上显著优于外部基线（ECE 0.027 vs 0.18-0.19）。</w:t>
      </w:r>
    </w:p>
    <w:p>
      <w:pPr>
        <w:pStyle w:val="Heading2"/>
      </w:pPr>
      <w:r>
        <w:t>Table S11 | Prior sensitivity (6 configurations, phy-reg BNN, case 06). 表 S11 | 先验敏感性（6 种配置，物理正则化 BNN，案例 06）。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微软雅黑"/>
                <w:b/>
              </w:rPr>
              <w:t>Prior variant</w:t>
            </w:r>
          </w:p>
        </w:tc>
        <w:tc>
          <w:tcPr>
            <w:tcW w:type="dxa" w:w="2160"/>
          </w:tcPr>
          <w:p>
            <w:r>
              <w:rPr>
                <w:rFonts w:ascii="Times New Roman" w:hAnsi="Times New Roman" w:eastAsia="微软雅黑"/>
                <w:b/>
              </w:rPr>
              <w:t>Coverage</w:t>
            </w:r>
          </w:p>
        </w:tc>
        <w:tc>
          <w:tcPr>
            <w:tcW w:type="dxa" w:w="2160"/>
          </w:tcPr>
          <w:p>
            <w:r>
              <w:rPr>
                <w:rFonts w:ascii="Times New Roman" w:hAnsi="Times New Roman" w:eastAsia="微软雅黑"/>
                <w:b/>
              </w:rPr>
              <w:t>Mean KL vs canonical</w:t>
            </w:r>
          </w:p>
        </w:tc>
        <w:tc>
          <w:tcPr>
            <w:tcW w:type="dxa" w:w="2160"/>
          </w:tcPr>
          <w:p>
            <w:r>
              <w:rPr>
                <w:rFonts w:ascii="Times New Roman" w:hAnsi="Times New Roman" w:eastAsia="微软雅黑"/>
                <w:b/>
              </w:rPr>
              <w:t>Accept rate</w:t>
            </w:r>
          </w:p>
        </w:tc>
      </w:tr>
      <w:tr>
        <w:tc>
          <w:tcPr>
            <w:tcW w:type="dxa" w:w="2160"/>
          </w:tcPr>
          <w:p>
            <w:r>
              <w:rPr>
                <w:rFonts w:ascii="Times New Roman" w:hAnsi="Times New Roman" w:eastAsia="微软雅黑"/>
              </w:rPr>
              <w:t>Canonical</w:t>
            </w:r>
          </w:p>
        </w:tc>
        <w:tc>
          <w:tcPr>
            <w:tcW w:type="dxa" w:w="2160"/>
          </w:tcPr>
          <w:p>
            <w:r>
              <w:rPr>
                <w:rFonts w:ascii="Times New Roman" w:hAnsi="Times New Roman" w:eastAsia="微软雅黑"/>
              </w:rPr>
              <w:t>100%</w:t>
            </w:r>
          </w:p>
        </w:tc>
        <w:tc>
          <w:tcPr>
            <w:tcW w:type="dxa" w:w="2160"/>
          </w:tcPr>
          <w:p>
            <w:r>
              <w:rPr>
                <w:rFonts w:ascii="Times New Roman" w:hAnsi="Times New Roman" w:eastAsia="微软雅黑"/>
              </w:rPr>
              <w:t>0.00 (reference)</w:t>
            </w:r>
          </w:p>
        </w:tc>
        <w:tc>
          <w:tcPr>
            <w:tcW w:type="dxa" w:w="2160"/>
          </w:tcPr>
          <w:p>
            <w:r>
              <w:rPr>
                <w:rFonts w:ascii="Times New Roman" w:hAnsi="Times New Roman" w:eastAsia="微软雅黑"/>
              </w:rPr>
              <w:t>0.61</w:t>
            </w:r>
          </w:p>
        </w:tc>
      </w:tr>
      <w:tr>
        <w:tc>
          <w:tcPr>
            <w:tcW w:type="dxa" w:w="2160"/>
          </w:tcPr>
          <w:p>
            <w:r>
              <w:rPr>
                <w:rFonts w:ascii="Times New Roman" w:hAnsi="Times New Roman" w:eastAsia="微软雅黑"/>
              </w:rPr>
              <w:t>Diffuse (2x)</w:t>
            </w:r>
          </w:p>
        </w:tc>
        <w:tc>
          <w:tcPr>
            <w:tcW w:type="dxa" w:w="2160"/>
          </w:tcPr>
          <w:p>
            <w:r>
              <w:rPr>
                <w:rFonts w:ascii="Times New Roman" w:hAnsi="Times New Roman" w:eastAsia="微软雅黑"/>
              </w:rPr>
              <w:t>100%</w:t>
            </w:r>
          </w:p>
        </w:tc>
        <w:tc>
          <w:tcPr>
            <w:tcW w:type="dxa" w:w="2160"/>
          </w:tcPr>
          <w:p>
            <w:r>
              <w:rPr>
                <w:rFonts w:ascii="Times New Roman" w:hAnsi="Times New Roman" w:eastAsia="微软雅黑"/>
              </w:rPr>
              <w:t>0.15-0.22</w:t>
            </w:r>
          </w:p>
        </w:tc>
        <w:tc>
          <w:tcPr>
            <w:tcW w:type="dxa" w:w="2160"/>
          </w:tcPr>
          <w:p>
            <w:r>
              <w:rPr>
                <w:rFonts w:ascii="Times New Roman" w:hAnsi="Times New Roman" w:eastAsia="微软雅黑"/>
              </w:rPr>
              <w:t>0.63</w:t>
            </w:r>
          </w:p>
        </w:tc>
      </w:tr>
      <w:tr>
        <w:tc>
          <w:tcPr>
            <w:tcW w:type="dxa" w:w="2160"/>
          </w:tcPr>
          <w:p>
            <w:r>
              <w:rPr>
                <w:rFonts w:ascii="Times New Roman" w:hAnsi="Times New Roman" w:eastAsia="微软雅黑"/>
              </w:rPr>
              <w:t>Tight (0.5x)</w:t>
            </w:r>
          </w:p>
        </w:tc>
        <w:tc>
          <w:tcPr>
            <w:tcW w:type="dxa" w:w="2160"/>
          </w:tcPr>
          <w:p>
            <w:r>
              <w:rPr>
                <w:rFonts w:ascii="Times New Roman" w:hAnsi="Times New Roman" w:eastAsia="微软雅黑"/>
              </w:rPr>
              <w:t>50-83%</w:t>
            </w:r>
          </w:p>
        </w:tc>
        <w:tc>
          <w:tcPr>
            <w:tcW w:type="dxa" w:w="2160"/>
          </w:tcPr>
          <w:p>
            <w:r>
              <w:rPr>
                <w:rFonts w:ascii="Times New Roman" w:hAnsi="Times New Roman" w:eastAsia="微软雅黑"/>
              </w:rPr>
              <w:t>0.64-1.28</w:t>
            </w:r>
          </w:p>
        </w:tc>
        <w:tc>
          <w:tcPr>
            <w:tcW w:type="dxa" w:w="2160"/>
          </w:tcPr>
          <w:p>
            <w:r>
              <w:rPr>
                <w:rFonts w:ascii="Times New Roman" w:hAnsi="Times New Roman" w:eastAsia="微软雅黑"/>
              </w:rPr>
              <w:t>0.57</w:t>
            </w:r>
          </w:p>
        </w:tc>
      </w:tr>
      <w:tr>
        <w:tc>
          <w:tcPr>
            <w:tcW w:type="dxa" w:w="2160"/>
          </w:tcPr>
          <w:p>
            <w:r>
              <w:rPr>
                <w:rFonts w:ascii="Times New Roman" w:hAnsi="Times New Roman" w:eastAsia="微软雅黑"/>
              </w:rPr>
              <w:t>Flat (uniform)</w:t>
            </w:r>
          </w:p>
        </w:tc>
        <w:tc>
          <w:tcPr>
            <w:tcW w:type="dxa" w:w="2160"/>
          </w:tcPr>
          <w:p>
            <w:r>
              <w:rPr>
                <w:rFonts w:ascii="Times New Roman" w:hAnsi="Times New Roman" w:eastAsia="微软雅黑"/>
              </w:rPr>
              <w:t>100%</w:t>
            </w:r>
          </w:p>
        </w:tc>
        <w:tc>
          <w:tcPr>
            <w:tcW w:type="dxa" w:w="2160"/>
          </w:tcPr>
          <w:p>
            <w:r>
              <w:rPr>
                <w:rFonts w:ascii="Times New Roman" w:hAnsi="Times New Roman" w:eastAsia="微软雅黑"/>
              </w:rPr>
              <w:t>0.24-0.38</w:t>
            </w:r>
          </w:p>
        </w:tc>
        <w:tc>
          <w:tcPr>
            <w:tcW w:type="dxa" w:w="2160"/>
          </w:tcPr>
          <w:p>
            <w:r>
              <w:rPr>
                <w:rFonts w:ascii="Times New Roman" w:hAnsi="Times New Roman" w:eastAsia="微软雅黑"/>
              </w:rPr>
              <w:t>0.64</w:t>
            </w:r>
          </w:p>
        </w:tc>
      </w:tr>
    </w:tbl>
    <w:p/>
    <w:p>
      <w:r>
        <w:rPr>
          <w:rFonts w:ascii="Times New Roman" w:hAnsi="Times New Roman" w:eastAsia="微软雅黑"/>
        </w:rPr>
        <w:t>标准和弥散先验实现完全覆盖；紧凑先验过度约束后验。</w:t>
      </w:r>
    </w:p>
    <w:p>
      <w:pPr>
        <w:pStyle w:val="Heading2"/>
      </w:pPr>
      <w:r>
        <w:t>Table S12 | Noise sensitivity (noise fraction 0.5%-10%). 表 S12 | 噪声敏感性（噪声分数 0.5%-10%）。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微软雅黑"/>
                <w:b/>
              </w:rPr>
              <w:t>Noise fraction</w:t>
            </w:r>
          </w:p>
        </w:tc>
        <w:tc>
          <w:tcPr>
            <w:tcW w:type="dxa" w:w="2160"/>
          </w:tcPr>
          <w:p>
            <w:r>
              <w:rPr>
                <w:rFonts w:ascii="Times New Roman" w:hAnsi="Times New Roman" w:eastAsia="微软雅黑"/>
                <w:b/>
                <w:i/>
              </w:rPr>
              <w:t>E</w:t>
            </w:r>
            <w:r>
              <w:rPr>
                <w:rFonts w:ascii="Times New Roman" w:hAnsi="Times New Roman" w:eastAsia="微软雅黑"/>
                <w:b/>
                <w:vertAlign w:val="subscript"/>
              </w:rPr>
              <w:t>intercept</w:t>
            </w:r>
            <w:r>
              <w:rPr>
                <w:rFonts w:ascii="Times New Roman" w:hAnsi="Times New Roman" w:eastAsia="微软雅黑"/>
                <w:b/>
              </w:rPr>
              <w:t xml:space="preserve"> post. std</w:t>
            </w:r>
          </w:p>
        </w:tc>
        <w:tc>
          <w:tcPr>
            <w:tcW w:type="dxa" w:w="2160"/>
          </w:tcPr>
          <w:p>
            <w:r>
              <w:rPr>
                <w:rFonts w:ascii="Times New Roman" w:hAnsi="Times New Roman" w:eastAsia="微软雅黑"/>
                <w:b/>
              </w:rPr>
              <w:t>Accept rate</w:t>
            </w:r>
          </w:p>
        </w:tc>
        <w:tc>
          <w:tcPr>
            <w:tcW w:type="dxa" w:w="2160"/>
          </w:tcPr>
          <w:p>
            <w:r>
              <w:rPr>
                <w:rFonts w:ascii="Times New Roman" w:hAnsi="Times New Roman" w:eastAsia="微软雅黑"/>
                <w:b/>
              </w:rPr>
              <w:t>Coverage</w:t>
            </w:r>
          </w:p>
        </w:tc>
      </w:tr>
      <w:tr>
        <w:tc>
          <w:tcPr>
            <w:tcW w:type="dxa" w:w="2160"/>
          </w:tcPr>
          <w:p>
            <w:r>
              <w:rPr>
                <w:rFonts w:ascii="Times New Roman" w:hAnsi="Times New Roman" w:eastAsia="微软雅黑"/>
              </w:rPr>
              <w:t>0.5%</w:t>
            </w:r>
          </w:p>
        </w:tc>
        <w:tc>
          <w:tcPr>
            <w:tcW w:type="dxa" w:w="2160"/>
          </w:tcPr>
          <w:p>
            <w:r>
              <w:rPr>
                <w:rFonts w:ascii="Times New Roman" w:hAnsi="Times New Roman" w:eastAsia="微软雅黑"/>
              </w:rPr>
              <w:t>1.26e10</w:t>
            </w:r>
          </w:p>
        </w:tc>
        <w:tc>
          <w:tcPr>
            <w:tcW w:type="dxa" w:w="2160"/>
          </w:tcPr>
          <w:p>
            <w:r>
              <w:rPr>
                <w:rFonts w:ascii="Times New Roman" w:hAnsi="Times New Roman" w:eastAsia="微软雅黑"/>
              </w:rPr>
              <w:t>0.58</w:t>
            </w:r>
          </w:p>
        </w:tc>
        <w:tc>
          <w:tcPr>
            <w:tcW w:type="dxa" w:w="2160"/>
          </w:tcPr>
          <w:p>
            <w:r>
              <w:rPr>
                <w:rFonts w:ascii="Times New Roman" w:hAnsi="Times New Roman" w:eastAsia="微软雅黑"/>
              </w:rPr>
              <w:t>100%</w:t>
            </w:r>
          </w:p>
        </w:tc>
      </w:tr>
      <w:tr>
        <w:tc>
          <w:tcPr>
            <w:tcW w:type="dxa" w:w="2160"/>
          </w:tcPr>
          <w:p>
            <w:r>
              <w:rPr>
                <w:rFonts w:ascii="Times New Roman" w:hAnsi="Times New Roman" w:eastAsia="微软雅黑"/>
              </w:rPr>
              <w:t>2.0% (default)</w:t>
            </w:r>
          </w:p>
        </w:tc>
        <w:tc>
          <w:tcPr>
            <w:tcW w:type="dxa" w:w="2160"/>
          </w:tcPr>
          <w:p>
            <w:r>
              <w:rPr>
                <w:rFonts w:ascii="Times New Roman" w:hAnsi="Times New Roman" w:eastAsia="微软雅黑"/>
              </w:rPr>
              <w:t>1.32e10</w:t>
            </w:r>
          </w:p>
        </w:tc>
        <w:tc>
          <w:tcPr>
            <w:tcW w:type="dxa" w:w="2160"/>
          </w:tcPr>
          <w:p>
            <w:r>
              <w:rPr>
                <w:rFonts w:ascii="Times New Roman" w:hAnsi="Times New Roman" w:eastAsia="微软雅黑"/>
              </w:rPr>
              <w:t>0.61</w:t>
            </w:r>
          </w:p>
        </w:tc>
        <w:tc>
          <w:tcPr>
            <w:tcW w:type="dxa" w:w="2160"/>
          </w:tcPr>
          <w:p>
            <w:r>
              <w:rPr>
                <w:rFonts w:ascii="Times New Roman" w:hAnsi="Times New Roman" w:eastAsia="微软雅黑"/>
              </w:rPr>
              <w:t>100%</w:t>
            </w:r>
          </w:p>
        </w:tc>
      </w:tr>
      <w:tr>
        <w:tc>
          <w:tcPr>
            <w:tcW w:type="dxa" w:w="2160"/>
          </w:tcPr>
          <w:p>
            <w:r>
              <w:rPr>
                <w:rFonts w:ascii="Times New Roman" w:hAnsi="Times New Roman" w:eastAsia="微软雅黑"/>
              </w:rPr>
              <w:t>10.0%</w:t>
            </w:r>
          </w:p>
        </w:tc>
        <w:tc>
          <w:tcPr>
            <w:tcW w:type="dxa" w:w="2160"/>
          </w:tcPr>
          <w:p>
            <w:r>
              <w:rPr>
                <w:rFonts w:ascii="Times New Roman" w:hAnsi="Times New Roman" w:eastAsia="微软雅黑"/>
              </w:rPr>
              <w:t>1.40e10</w:t>
            </w:r>
          </w:p>
        </w:tc>
        <w:tc>
          <w:tcPr>
            <w:tcW w:type="dxa" w:w="2160"/>
          </w:tcPr>
          <w:p>
            <w:r>
              <w:rPr>
                <w:rFonts w:ascii="Times New Roman" w:hAnsi="Times New Roman" w:eastAsia="微软雅黑"/>
              </w:rPr>
              <w:t>0.65</w:t>
            </w:r>
          </w:p>
        </w:tc>
        <w:tc>
          <w:tcPr>
            <w:tcW w:type="dxa" w:w="2160"/>
          </w:tcPr>
          <w:p>
            <w:r>
              <w:rPr>
                <w:rFonts w:ascii="Times New Roman" w:hAnsi="Times New Roman" w:eastAsia="微软雅黑"/>
              </w:rPr>
              <w:t>83%</w:t>
            </w:r>
          </w:p>
        </w:tc>
      </w:tr>
    </w:tbl>
    <w:p/>
    <w:p>
      <w:r>
        <w:rPr>
          <w:rFonts w:ascii="Times New Roman" w:hAnsi="Times New Roman" w:eastAsia="微软雅黑"/>
        </w:rPr>
        <w:t>后验宽度随噪声单调增加；覆盖率在 10% 噪声时降至 83%。</w:t>
      </w:r>
    </w:p>
    <w:p>
      <w:pPr>
        <w:pStyle w:val="Heading2"/>
      </w:pPr>
      <w:r>
        <w:t>Table S13 | Data efficiency (2 seeds per fraction). 表 S13 | 数据效率（每个分数 2 个种子）。</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微软雅黑"/>
                <w:b/>
              </w:rPr>
              <w:t>Train fraction</w:t>
            </w:r>
          </w:p>
        </w:tc>
        <w:tc>
          <w:tcPr>
            <w:tcW w:type="dxa" w:w="2880"/>
          </w:tcPr>
          <w:p>
            <w:r>
              <w:rPr>
                <w:rFonts w:ascii="Times New Roman" w:hAnsi="Times New Roman" w:eastAsia="微软雅黑"/>
                <w:b/>
              </w:rPr>
              <w:t>N_train</w:t>
            </w:r>
          </w:p>
        </w:tc>
        <w:tc>
          <w:tcPr>
            <w:tcW w:type="dxa" w:w="2880"/>
          </w:tcPr>
          <w:p>
            <w:r>
              <w:rPr>
                <w:rFonts w:ascii="Times New Roman" w:hAnsi="Times New Roman" w:eastAsia="微软雅黑"/>
                <w:b/>
              </w:rPr>
              <w:t>RMSE (mean+/-std)</w:t>
            </w:r>
          </w:p>
        </w:tc>
      </w:tr>
      <w:tr>
        <w:tc>
          <w:tcPr>
            <w:tcW w:type="dxa" w:w="2880"/>
          </w:tcPr>
          <w:p>
            <w:r>
              <w:rPr>
                <w:rFonts w:ascii="Times New Roman" w:hAnsi="Times New Roman" w:eastAsia="微软雅黑"/>
              </w:rPr>
              <w:t>25%</w:t>
            </w:r>
          </w:p>
        </w:tc>
        <w:tc>
          <w:tcPr>
            <w:tcW w:type="dxa" w:w="2880"/>
          </w:tcPr>
          <w:p>
            <w:r>
              <w:rPr>
                <w:rFonts w:ascii="Times New Roman" w:hAnsi="Times New Roman" w:eastAsia="微软雅黑"/>
              </w:rPr>
              <w:t>507</w:t>
            </w:r>
          </w:p>
        </w:tc>
        <w:tc>
          <w:tcPr>
            <w:tcW w:type="dxa" w:w="2880"/>
          </w:tcPr>
          <w:p>
            <w:r>
              <w:rPr>
                <w:rFonts w:ascii="Times New Roman" w:hAnsi="Times New Roman" w:eastAsia="微软雅黑"/>
              </w:rPr>
              <w:t>4.93 +/- 0.04</w:t>
            </w:r>
          </w:p>
        </w:tc>
      </w:tr>
      <w:tr>
        <w:tc>
          <w:tcPr>
            <w:tcW w:type="dxa" w:w="2880"/>
          </w:tcPr>
          <w:p>
            <w:r>
              <w:rPr>
                <w:rFonts w:ascii="Times New Roman" w:hAnsi="Times New Roman" w:eastAsia="微软雅黑"/>
              </w:rPr>
              <w:t>50%</w:t>
            </w:r>
          </w:p>
        </w:tc>
        <w:tc>
          <w:tcPr>
            <w:tcW w:type="dxa" w:w="2880"/>
          </w:tcPr>
          <w:p>
            <w:r>
              <w:rPr>
                <w:rFonts w:ascii="Times New Roman" w:hAnsi="Times New Roman" w:eastAsia="微软雅黑"/>
              </w:rPr>
              <w:t>1015</w:t>
            </w:r>
          </w:p>
        </w:tc>
        <w:tc>
          <w:tcPr>
            <w:tcW w:type="dxa" w:w="2880"/>
          </w:tcPr>
          <w:p>
            <w:r>
              <w:rPr>
                <w:rFonts w:ascii="Times New Roman" w:hAnsi="Times New Roman" w:eastAsia="微软雅黑"/>
              </w:rPr>
              <w:t>4.66 +/- 0.11</w:t>
            </w:r>
          </w:p>
        </w:tc>
      </w:tr>
      <w:tr>
        <w:tc>
          <w:tcPr>
            <w:tcW w:type="dxa" w:w="2880"/>
          </w:tcPr>
          <w:p>
            <w:r>
              <w:rPr>
                <w:rFonts w:ascii="Times New Roman" w:hAnsi="Times New Roman" w:eastAsia="微软雅黑"/>
              </w:rPr>
              <w:t>100%</w:t>
            </w:r>
          </w:p>
        </w:tc>
        <w:tc>
          <w:tcPr>
            <w:tcW w:type="dxa" w:w="2880"/>
          </w:tcPr>
          <w:p>
            <w:r>
              <w:rPr>
                <w:rFonts w:ascii="Times New Roman" w:hAnsi="Times New Roman" w:eastAsia="微软雅黑"/>
              </w:rPr>
              <w:t>2029</w:t>
            </w:r>
          </w:p>
        </w:tc>
        <w:tc>
          <w:tcPr>
            <w:tcW w:type="dxa" w:w="2880"/>
          </w:tcPr>
          <w:p>
            <w:r>
              <w:rPr>
                <w:rFonts w:ascii="Times New Roman" w:hAnsi="Times New Roman" w:eastAsia="微软雅黑"/>
              </w:rPr>
              <w:t>4.62 +/- 0.08</w:t>
            </w:r>
          </w:p>
        </w:tc>
      </w:tr>
    </w:tbl>
    <w:p/>
    <w:p>
      <w:r>
        <w:rPr>
          <w:rFonts w:ascii="Times New Roman" w:hAnsi="Times New Roman" w:eastAsia="微软雅黑"/>
        </w:rPr>
        <w:t>25% 数据即达到峰值精度的 96%。</w:t>
      </w:r>
    </w:p>
    <w:p>
      <w:pPr>
        <w:pStyle w:val="Heading1"/>
      </w:pPr>
      <w:r>
        <w:t>III. Supplementary Notes / 补充说明</w:t>
      </w:r>
    </w:p>
    <w:p>
      <w:pPr>
        <w:pStyle w:val="Heading1"/>
      </w:pPr>
      <w:r>
        <w:t>Supplementary Note A: BNN training details / BNN 训练细节</w:t>
      </w:r>
    </w:p>
    <w:p>
      <w:pPr>
        <w:pStyle w:val="Heading3"/>
      </w:pPr>
      <w:r>
        <w:t>A.1. Evidence lower bound (ELBO) derivation / 证据下界（ELBO）推导</w:t>
      </w:r>
    </w:p>
    <w:p>
      <w:r>
        <w:rPr>
          <w:rFonts w:ascii="Times New Roman" w:hAnsi="Times New Roman" w:eastAsia="微软雅黑"/>
        </w:rPr>
        <w:t>The BNN posterior over weights w is approximated by a mean-field variational distribution q(w) = product_i N(w_i | mu_i, sigma_i^2), where each weight w_i has its own variational mean mu_i and variance sigma_i^2. The variational parameters are optimised by minimising the negative evidence lower bound:</w:t>
      </w:r>
    </w:p>
    <w:p>
      <w:r>
        <w:rPr>
          <w:rFonts w:ascii="Times New Roman" w:hAnsi="Times New Roman" w:eastAsia="微软雅黑"/>
        </w:rPr>
        <w:t>BNN 的权重后验由均场变分分布近似：q(w) = product_i N(w_i | mu_i, sigma_i^2)，每个权重 w_i 有自己的变分均值 mu_i 和方差 sigma_i^2。变分参数通过最小化负证据下界来优化：</w:t>
      </w:r>
    </w:p>
    <w:p>
      <w:r>
        <w:rPr>
          <w:rFonts w:ascii="Times New Roman" w:hAnsi="Times New Roman" w:eastAsia="微软雅黑"/>
        </w:rPr>
        <w:t>where p(w) = N(0, sigma_p^2 I) is the isotropic Gaussian prior and p(D | w) is the data likelihood. The KL divergence between two Gaussians admits a closed form; the data-fit term is approximated by a single Monte Carlo sample per mini-batch (Bayes-by-Backprop [10]).</w:t>
      </w:r>
    </w:p>
    <w:p>
      <w:r>
        <w:rPr>
          <w:rFonts w:ascii="Times New Roman" w:hAnsi="Times New Roman" w:eastAsia="微软雅黑"/>
        </w:rPr>
        <w:t>其中 p(w) = N(0, sigma_p^2 I) 是各向同性高斯先验，p(D | w) 是数据似然。两个高斯分布之间的 KL 散度具有闭式解；数据拟合项通过每个 mini-batch 的单次 Monte Carlo 采样近似（Bayes-by-Backprop [10]）。</w:t>
      </w:r>
    </w:p>
    <w:p>
      <w:r>
        <w:rPr>
          <w:rFonts w:ascii="Times New Roman" w:hAnsi="Times New Roman" w:eastAsia="微软雅黑"/>
        </w:rPr>
        <w:t>The reparameterisation trick enables gradient computation: w = mu + sigma * epsilon, where epsilon ~ N(0, I). The variance parameter sigma is parameterised as sigma = log(1 + exp(rho)) to ensure positivity, with rho_abs_min clamping rho &gt;= rho_abs_min to prevent posterior collapse.</w:t>
      </w:r>
    </w:p>
    <w:p>
      <w:r>
        <w:rPr>
          <w:rFonts w:ascii="Times New Roman" w:hAnsi="Times New Roman" w:eastAsia="微软雅黑"/>
        </w:rPr>
        <w:t>重参数化技巧使梯度计算成为可能：w = mu + sigma * epsilon，其中 epsilon ~ N(0, I)。方差参数 sigma 参数化为 sigma = log(1 + exp(rho)) 以确保正性，rho_abs_min 钳制 rho &gt;= rho_abs_min 以防止后验坍缩。</w:t>
      </w:r>
    </w:p>
    <w:p>
      <w:pPr>
        <w:pStyle w:val="Heading3"/>
      </w:pPr>
      <w:r>
        <w:t>A.2. Heteroscedastic observation noise / 异方差观测噪声</w:t>
      </w:r>
    </w:p>
    <w:p>
      <w:r>
        <w:rPr>
          <w:rFonts w:ascii="Times New Roman" w:hAnsi="Times New Roman" w:eastAsia="微软雅黑"/>
        </w:rPr>
        <w:t>The network outputs both a mean mu(theta) and a log-variance log sigma^2_obs(theta) per output channel. The per-output Gaussian log-likelihood is:</w:t>
      </w:r>
    </w:p>
    <w:p>
      <w:r>
        <w:rPr>
          <w:rFonts w:ascii="Times New Roman" w:hAnsi="Times New Roman" w:eastAsia="微软雅黑"/>
        </w:rPr>
        <w:t>网络对每个输出通道同时输出均值 mu(theta) 和对数方差 log sigma^2_obs(theta)。逐输出高斯对数似然为：</w:t>
      </w:r>
    </w:p>
    <w:p>
      <w:pPr>
        <w:spacing w:before="80" w:after="80"/>
        <w:jc w:val="center"/>
      </w:pPr>
      <m:oMathPara>
        <m:oMath>
          <m:r>
            <m:rPr>
              <m:sty m:val="pi"/>
            </m:rPr>
            <m:t xml:space="preserve">log p(y_j | theta, w) = -0.5 * [log sigma^2_{obs,j} +</m:t>
          </m:r>
        </m:oMath>
      </m:oMathPara>
    </w:p>
    <w:p>
      <w:r>
        <w:rPr>
          <w:rFonts w:ascii="Times New Roman" w:hAnsi="Times New Roman" w:eastAsia="微软雅黑"/>
        </w:rPr>
        <w:t xml:space="preserve">                           (y_j - mu_j)^2 / sigma^2_{obs,j}]</w:t>
      </w:r>
    </w:p>
    <w:p>
      <w:r>
        <w:rPr>
          <w:rFonts w:ascii="Times New Roman" w:hAnsi="Times New Roman" w:eastAsia="微软雅黑"/>
        </w:rPr>
        <w:t>This heteroscedastic formulation allows the BNN to model input- dependent observation noise, separating it from epistemic (weight) uncertainty.</w:t>
      </w:r>
    </w:p>
    <w:p>
      <w:r>
        <w:rPr>
          <w:rFonts w:ascii="Times New Roman" w:hAnsi="Times New Roman" w:eastAsia="微软雅黑"/>
        </w:rPr>
        <w:t>该异方差公式允许 BNN 建模输入依赖的观测噪声，将其与认知（权重）不确定性分离。</w:t>
      </w:r>
    </w:p>
    <w:p>
      <w:pPr>
        <w:pStyle w:val="Heading3"/>
      </w:pPr>
      <w:r>
        <w:t>A.3. KL annealing schedule / KL 退火策略</w:t>
      </w:r>
    </w:p>
    <w:p>
      <w:r>
        <w:rPr>
          <w:rFonts w:ascii="Times New Roman" w:hAnsi="Times New Roman" w:eastAsia="微软雅黑"/>
        </w:rPr>
        <w:t xml:space="preserve">The KL weight beta is annealed from 0 to its target value kl_weight = 1.93 x </w:t>
      </w:r>
      <w:r>
        <w:rPr>
          <w:rFonts w:ascii="Times New Roman" w:hAnsi="Times New Roman" w:eastAsia="微软雅黑"/>
        </w:rPr>
        <w:t>10</w:t>
      </w:r>
      <w:r>
        <w:rPr>
          <w:rFonts w:ascii="Times New Roman" w:hAnsi="Times New Roman" w:eastAsia="微软雅黑"/>
          <w:vertAlign w:val="superscript"/>
        </w:rPr>
        <w:t>-4</w:t>
      </w:r>
      <w:r>
        <w:rPr>
          <w:rFonts w:ascii="Times New Roman" w:hAnsi="Times New Roman" w:eastAsia="微软雅黑"/>
        </w:rPr>
        <w:t xml:space="preserve"> over the first 100 epochs using a linear schedule:</w:t>
      </w:r>
    </w:p>
    <w:p>
      <w:r>
        <w:rPr>
          <w:rFonts w:ascii="Times New Roman" w:hAnsi="Times New Roman" w:eastAsia="微软雅黑"/>
        </w:rPr>
        <w:t xml:space="preserve">KL 权重 beta 通过线性策略在前 100 轮从 0 退火至目标值 kl_weight = 1.93 x </w:t>
      </w:r>
      <w:r>
        <w:rPr>
          <w:rFonts w:ascii="Times New Roman" w:hAnsi="Times New Roman" w:eastAsia="微软雅黑"/>
        </w:rPr>
        <w:t>10</w:t>
      </w:r>
      <w:r>
        <w:rPr>
          <w:rFonts w:ascii="Times New Roman" w:hAnsi="Times New Roman" w:eastAsia="微软雅黑"/>
          <w:vertAlign w:val="superscript"/>
        </w:rPr>
        <w:t>-4</w:t>
      </w:r>
      <w:r>
        <w:rPr>
          <w:rFonts w:ascii="Times New Roman" w:hAnsi="Times New Roman" w:eastAsia="微软雅黑"/>
        </w:rPr>
        <w:t>：</w:t>
      </w:r>
    </w:p>
    <w:p>
      <w:pPr>
        <w:spacing w:before="80" w:after="80"/>
        <w:jc w:val="center"/>
      </w:pPr>
      <m:oMathPara>
        <m:oMath>
          <m:r>
            <m:rPr>
              <m:sty m:val="pi"/>
            </m:rPr>
            <m:t xml:space="preserve">beta(t) = min(t / 100, 1.0) * kl_weight</m:t>
          </m:r>
        </m:oMath>
      </m:oMathPara>
    </w:p>
    <w:p>
      <w:r>
        <w:rPr>
          <w:rFonts w:ascii="Times New Roman" w:hAnsi="Times New Roman" w:eastAsia="微软雅黑"/>
        </w:rPr>
        <w:t>This prevents the KL term from dominating early training before the data-fit term has found a reasonable region of weight space.</w:t>
      </w:r>
    </w:p>
    <w:p>
      <w:r>
        <w:rPr>
          <w:rFonts w:ascii="Times New Roman" w:hAnsi="Times New Roman" w:eastAsia="微软雅黑"/>
        </w:rPr>
        <w:t>这防止 KL 项在数据拟合项找到合理权重空间区域之前主导早期训练。</w:t>
      </w:r>
    </w:p>
    <w:p>
      <w:pPr>
        <w:pStyle w:val="Heading3"/>
      </w:pPr>
      <w:r>
        <w:t>A.4. Physics-prior monotonicity constraints / 物理先验单调性约束</w:t>
      </w:r>
    </w:p>
    <w:p>
      <w:r>
        <w:rPr>
          <w:rFonts w:ascii="Times New Roman" w:hAnsi="Times New Roman" w:eastAsia="微软雅黑"/>
        </w:rPr>
        <w:t>The physics-regularized BNN adds an auxiliary loss term that penalises violations of known monotonicity relationships derived from the constitutive laws. For each specified (input, output) pair where the physics dictates a positive (or negative) partial derivative, the loss is:</w:t>
      </w:r>
    </w:p>
    <w:p>
      <w:r>
        <w:rPr>
          <w:rFonts w:ascii="Times New Roman" w:hAnsi="Times New Roman" w:eastAsia="微软雅黑"/>
        </w:rPr>
        <w:t>物理正则化 BNN 添加辅助损失项，惩罚违反从本构律推导的已知单调性关系。对于物理规定正（或负）偏导数的每对指定（输入，输出），损失为：</w:t>
      </w:r>
    </w:p>
    <w:p>
      <w:pPr>
        <w:spacing w:before="80" w:after="80"/>
        <w:jc w:val="center"/>
      </w:pPr>
      <m:oMathPara>
        <m:oMath>
          <m:r>
            <m:rPr>
              <m:sty m:val="pi"/>
            </m:rPr>
            <m:t xml:space="preserve">L_mono = (1/K) sum_{k=1}^{K} max(0, -sign * d_mu/d_theta_k)</m:t>
          </m:r>
        </m:oMath>
      </m:oMathPara>
    </w:p>
    <w:p>
      <w:r>
        <w:rPr>
          <w:rFonts w:ascii="Times New Roman" w:hAnsi="Times New Roman" w:eastAsia="微软雅黑"/>
        </w:rPr>
        <w:t>where the gradient is computed by automatic differentiation and K is the number of sampled training points per batch (controlled by mono_topk). The monotonicity loss is weighted by w_mono = 0.212 in the total loss.</w:t>
      </w:r>
    </w:p>
    <w:p>
      <w:r>
        <w:rPr>
          <w:rFonts w:ascii="Times New Roman" w:hAnsi="Times New Roman" w:eastAsia="微软雅黑"/>
        </w:rPr>
        <w:t>其中梯度通过自动微分计算，K 是每批次采样的训练点数（由 mono_topk 控制）。单调性损失在总损失中的权重为 w_mono = 0.212。</w:t>
      </w:r>
    </w:p>
    <w:p>
      <w:r>
        <w:rPr>
          <w:rFonts w:ascii="Times New Roman" w:hAnsi="Times New Roman" w:eastAsia="微软雅黑"/>
        </w:rPr>
        <w:t xml:space="preserve">The sign constraints are derived from the constitutive physics: - Stress increases with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(positive sign), because</w:t>
      </w:r>
    </w:p>
    <w:p>
      <w:pPr>
        <w:spacing w:before="80" w:after="80"/>
        <w:jc w:val="center"/>
      </w:pPr>
      <m:oMathPara>
        <m:oMath>
          <m:r>
            <m:rPr>
              <m:sty m:val="pi"/>
            </m:rPr>
            <m:t xml:space="preserve">sigma = C(E, nu) * epsilon and C is linear in E.</m:t>
          </m:r>
        </m:oMath>
      </m:oMathPara>
    </w:p>
    <w:p>
      <w:r>
        <w:rPr>
          <w:rFonts w:ascii="Times New Roman" w:hAnsi="Times New Roman" w:eastAsia="微软雅黑"/>
        </w:rPr>
        <w:t xml:space="preserve">- Stress increases with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(positive sign), because thermal</w:t>
      </w:r>
    </w:p>
    <w:p>
      <w:pPr>
        <w:spacing w:before="80" w:after="80"/>
        <w:jc w:val="center"/>
      </w:pPr>
      <m:oMathPara>
        <m:oMath>
          <m:r>
            <m:rPr>
              <m:sty m:val="pi"/>
            </m:rPr>
            <m:t xml:space="preserve">strain epsilon_th = alpha * DeltaT serves as the loading source.</m:t>
          </m:r>
        </m:oMath>
      </m:oMathPara>
    </w:p>
    <w:p>
      <w:r>
        <w:rPr>
          <w:rFonts w:ascii="Times New Roman" w:hAnsi="Times New Roman" w:eastAsia="微软雅黑"/>
        </w:rPr>
        <w:t xml:space="preserve">符号约束从本构物理推导： - 应力随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递增（正号），因为 sigma = C(E, nu) * epsilon 且 C 对 E 是线性的。 - 应力随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递增（正号），因为热应变 epsilon_th = alpha * DeltaT 是载荷源。</w:t>
      </w:r>
    </w:p>
    <w:p>
      <w:r>
        <w:rPr>
          <w:rFonts w:ascii="Times New Roman" w:hAnsi="Times New Roman" w:eastAsia="微软雅黑"/>
        </w:rPr>
        <w:t>These are physics-prior constraints, not inequality priors. The inequality-constraint variant (tested in ablation, Supplementary Table S3) is a separate formulation.</w:t>
      </w:r>
    </w:p>
    <w:p>
      <w:r>
        <w:rPr>
          <w:rFonts w:ascii="Times New Roman" w:hAnsi="Times New Roman" w:eastAsia="微软雅黑"/>
        </w:rPr>
        <w:t>这些是物理先验约束，而非不等式先验。不等式约束变体（在消融实验中测试，补充表 S3）是独立的公式。</w:t>
      </w:r>
    </w:p>
    <w:p>
      <w:pPr>
        <w:pStyle w:val="Heading3"/>
      </w:pPr>
      <w:r>
        <w:t>A.5. Gradient clipping and initialisation / 梯度裁剪与初始化</w:t>
      </w:r>
    </w:p>
    <w:p>
      <w:r>
        <w:rPr>
          <w:rFonts w:ascii="Times New Roman" w:hAnsi="Times New Roman" w:eastAsia="微软雅黑"/>
        </w:rPr>
        <w:t>Gradient norms are clipped at 0.674 per parameter group. Weight means mu are initialised with Xavier uniform; rho values are initialised uniformly in [-5, -4], corresponding to small initial variance. These choices stabilise early training when the KL term is annealed in.</w:t>
      </w:r>
    </w:p>
    <w:p>
      <w:r>
        <w:rPr>
          <w:rFonts w:ascii="Times New Roman" w:hAnsi="Times New Roman" w:eastAsia="微软雅黑"/>
        </w:rPr>
        <w:t>梯度范数按参数组裁剪至 0.674。权重均值 mu 以 Xavier 均匀初始化；rho 值在 [-5, -4] 上均匀初始化，对应较小的初始方差。这些选择在 KL 项退火引入时稳定了早期训练。</w:t>
      </w:r>
    </w:p>
    <w:p>
      <w:pPr>
        <w:pStyle w:val="Heading1"/>
      </w:pPr>
      <w:r>
        <w:t>Supplementary Note B: Sobol sensitivity methodology / Sobol 敏感性方法</w:t>
      </w:r>
    </w:p>
    <w:p>
      <w:pPr>
        <w:pStyle w:val="Heading3"/>
      </w:pPr>
      <w:r>
        <w:t>B.1. Sobol variance decomposition / Sobol 方差分解</w:t>
      </w:r>
    </w:p>
    <w:p>
      <w:r>
        <w:rPr>
          <w:rFonts w:ascii="Times New Roman" w:hAnsi="Times New Roman" w:eastAsia="微软雅黑"/>
        </w:rPr>
        <w:t>For a square-integrable function f(theta_1, ..., theta_d) with independent inputs, the total variance V = Var[f] can be decomposed as:</w:t>
      </w:r>
    </w:p>
    <w:p>
      <w:r>
        <w:rPr>
          <w:rFonts w:ascii="Times New Roman" w:hAnsi="Times New Roman" w:eastAsia="微软雅黑"/>
        </w:rPr>
        <w:t>对于具有独立输入的平方可积函数 f(theta_1, ..., theta_d)，总方差 V = Var[f] 可分解为：</w:t>
      </w:r>
    </w:p>
    <w:p>
      <w:pPr>
        <w:spacing w:before="80" w:after="80"/>
        <w:jc w:val="center"/>
      </w:pPr>
      <m:oMathPara>
        <m:oMath>
          <m:r>
            <m:rPr>
              <m:sty m:val="pi"/>
            </m:rPr>
            <m:t xml:space="preserve">V = sum_i V_i + sum_{i&lt;j} V_{ij} + ... + V_{1,...,d}</m:t>
          </m:r>
        </m:oMath>
      </m:oMathPara>
    </w:p>
    <w:p>
      <w:r>
        <w:rPr>
          <w:rFonts w:ascii="Times New Roman" w:hAnsi="Times New Roman" w:eastAsia="微软雅黑"/>
        </w:rPr>
        <w:t xml:space="preserve">where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Var[E[f | theta_i]] is the first-order variance due to theta_i alone, and higher-order terms capture interactions. The first-order Sobol index is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 and the total-order index is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 1 - V_{~i} / V, where V_{~i} = Var[E[f | theta_{~i}]] is the variance explained by all inputs except theta_i.</w:t>
      </w:r>
    </w:p>
    <w:p>
      <w:r>
        <w:rPr>
          <w:rFonts w:ascii="Times New Roman" w:hAnsi="Times New Roman" w:eastAsia="微软雅黑"/>
        </w:rPr>
        <w:t xml:space="preserve">其中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Var[E[f | theta_i]] 是仅由 theta_i 引起的一阶方差，高阶项捕获交互作用。一阶 Sobol 指标为 </w:t>
      </w:r>
      <w:r>
        <w:rPr>
          <w:rFonts w:ascii="Times New Roman" w:hAnsi="Times New Roman" w:eastAsia="微软雅黑"/>
          <w:i/>
        </w:rPr>
        <w:t>S</w:t>
      </w:r>
      <w:r>
        <w:rPr>
          <w:rFonts w:ascii="Times New Roman" w:hAnsi="Times New Roman" w:eastAsia="微软雅黑"/>
          <w:vertAlign w:val="subscript"/>
        </w:rPr>
        <w:t>i</w:t>
      </w:r>
      <w:r>
        <w:rPr>
          <w:rFonts w:ascii="Times New Roman" w:hAnsi="Times New Roman" w:eastAsia="微软雅黑"/>
        </w:rPr>
        <w:t xml:space="preserve"> = </w:t>
      </w:r>
      <w:r>
        <w:rPr>
          <w:rFonts w:ascii="Times New Roman" w:hAnsi="Times New Roman" w:eastAsia="微软雅黑"/>
          <w:i/>
        </w:rPr>
        <w:t>V</w:t>
      </w:r>
      <w:r>
        <w:rPr>
          <w:rFonts w:ascii="Times New Roman" w:hAnsi="Times New Roman" w:eastAsia="微软雅黑"/>
          <w:vertAlign w:val="subscript"/>
        </w:rPr>
        <w:t>i</w:t>
      </w:r>
      <w:r>
        <w:rPr>
          <w:rFonts w:ascii="Times New Roman" w:hAnsi="Times New Roman" w:eastAsia="微软雅黑"/>
        </w:rPr>
        <w:t xml:space="preserve"> / V，全阶指标为 </w:t>
      </w:r>
      <w:r>
        <w:rPr>
          <w:rFonts w:ascii="Times New Roman" w:hAnsi="Times New Roman" w:eastAsia="微软雅黑"/>
          <w:i/>
        </w:rPr>
        <w:t>S</w:t>
      </w:r>
      <w:r>
        <w:rPr>
          <w:rFonts w:ascii="Times New Roman" w:hAnsi="Times New Roman" w:eastAsia="微软雅黑"/>
          <w:vertAlign w:val="subscript"/>
        </w:rPr>
        <w:t>T,i</w:t>
      </w:r>
      <w:r>
        <w:rPr>
          <w:rFonts w:ascii="Times New Roman" w:hAnsi="Times New Roman" w:eastAsia="微软雅黑"/>
        </w:rPr>
        <w:t xml:space="preserve"> = 1 - V_{~i} / V，其中 V_{~i} = Var[E[f | theta_{~i}]] 是除 theta_i 以外所有输入解释的方差。</w:t>
      </w:r>
    </w:p>
    <w:p>
      <w:pPr>
        <w:pStyle w:val="Heading3"/>
      </w:pPr>
      <w:r>
        <w:t>B.2. Saltelli cross-matrix scheme / Saltelli 交叉矩阵方案</w:t>
      </w:r>
    </w:p>
    <w:p>
      <w:r>
        <w:rPr>
          <w:rFonts w:ascii="Times New Roman" w:hAnsi="Times New Roman" w:eastAsia="微软雅黑"/>
        </w:rPr>
        <w:t>Indices are estimated using the Saltelli sampling scheme. Two independent N x d matrices A and B are drawn from the joint prior. For each input i, a cross-matrix A_B^{(i)} is constructed by replacing the i-th column of A with the i-th column of B. The model is evaluated at all N(d+2) points. First-order and total-order indices are then estimated from the resulting output vectors.</w:t>
      </w:r>
    </w:p>
    <w:p>
      <w:r>
        <w:rPr>
          <w:rFonts w:ascii="Times New Roman" w:hAnsi="Times New Roman" w:eastAsia="微软雅黑"/>
        </w:rPr>
        <w:t>指标使用 Saltelli 采样方案估计。从联合先验中抽取两个独立的 N x d 矩阵 A 和 B。对每个输入 i，用 B 的第 i 列替换 A 的第 i 列构造交叉矩阵 A_B^{(i)}。在所有 N(d+2) 个点上评估模型。然后从输出向量估计一阶和全阶指标。</w:t>
      </w:r>
    </w:p>
    <w:p>
      <w:pPr>
        <w:pStyle w:val="Heading3"/>
      </w:pPr>
      <w:r>
        <w:t>B.3. Jansen estimator / Jansen 估计量</w:t>
      </w:r>
    </w:p>
    <w:p>
      <w:r>
        <w:rPr>
          <w:rFonts w:ascii="Times New Roman" w:hAnsi="Times New Roman" w:eastAsia="微软雅黑"/>
        </w:rPr>
        <w:t>The first-order index is estimated using the Jansen estimator:</w:t>
      </w:r>
    </w:p>
    <w:p>
      <w:r>
        <w:rPr>
          <w:rFonts w:ascii="Times New Roman" w:hAnsi="Times New Roman" w:eastAsia="微软雅黑"/>
        </w:rPr>
        <w:t>一阶指标使用 Jansen 估计量估计：</w:t>
      </w:r>
    </w:p>
    <w:p>
      <w:pPr>
        <w:spacing w:before="80" w:after="80"/>
        <w:jc w:val="center"/>
      </w:pPr>
      <m:oMathPara>
        <m:oMath>
          <m:r>
            <m:rPr>
              <m:sty m:val="pi"/>
            </m:rPr>
            <m:t xml:space="preserve">S_1,i = 1 - (1/2N) sum_{j=1}^{N} [f(A_B^{(i)})_j - f(B)_j]^2 / V</m:t>
          </m:r>
        </m:oMath>
      </m:oMathPara>
    </w:p>
    <w:p>
      <w:r>
        <w:rPr>
          <w:rFonts w:ascii="Times New Roman" w:hAnsi="Times New Roman" w:eastAsia="微软雅黑"/>
        </w:rPr>
        <w:t>The total-order index uses:</w:t>
      </w:r>
    </w:p>
    <w:p>
      <w:r>
        <w:rPr>
          <w:rFonts w:ascii="Times New Roman" w:hAnsi="Times New Roman" w:eastAsia="微软雅黑"/>
        </w:rPr>
        <w:t>全阶指标使用：</w:t>
      </w:r>
    </w:p>
    <w:p>
      <w:pPr>
        <w:spacing w:before="80" w:after="80"/>
        <w:jc w:val="center"/>
      </w:pPr>
      <m:oMathPara>
        <m:oMath>
          <m:r>
            <m:rPr>
              <m:sty m:val="pi"/>
            </m:rPr>
            <m:t xml:space="preserve">S_{T,i} = (1/2N) sum_{j=1}^{N} [f(A)_j - f(A_B^{(i)})_j]^2 / V</m:t>
          </m:r>
        </m:oMath>
      </m:oMathPara>
    </w:p>
    <w:p>
      <w:r>
        <w:rPr>
          <w:rFonts w:ascii="Times New Roman" w:hAnsi="Times New Roman" w:eastAsia="微软雅黑"/>
        </w:rPr>
        <w:t>The Jansen estimator is preferred for its lower variance compared to the Sobol estimator, particularly for indices near zero.</w:t>
      </w:r>
    </w:p>
    <w:p>
      <w:r>
        <w:rPr>
          <w:rFonts w:ascii="Times New Roman" w:hAnsi="Times New Roman" w:eastAsia="微软雅黑"/>
        </w:rPr>
        <w:t>Jansen 估计量因其相比 Sobol 估计量更低的方差而受青睐，尤其对于接近零的指标。</w:t>
      </w:r>
    </w:p>
    <w:p>
      <w:pPr>
        <w:pStyle w:val="Heading3"/>
      </w:pPr>
      <w:r>
        <w:t>B.4. Replication-based confidence intervals / 基于重复的置信区间</w:t>
      </w:r>
    </w:p>
    <w:p>
      <w:r>
        <w:rPr>
          <w:rFonts w:ascii="Times New Roman" w:hAnsi="Times New Roman" w:eastAsia="微软雅黑"/>
        </w:rPr>
        <w:t>The entire Sobol analysis (sample generation, model evaluation, index estimation) is independently repeated R = 50 times. The 90% confidence interval for each index is constructed from the 5th and 95th percentiles of the R replications. A factor is declared a stable contributor only if the lower bound of its 90% CI exceeds zero.</w:t>
      </w:r>
    </w:p>
    <w:p>
      <w:r>
        <w:rPr>
          <w:rFonts w:ascii="Times New Roman" w:hAnsi="Times New Roman" w:eastAsia="微软雅黑"/>
        </w:rPr>
        <w:t>完整的 Sobol 分析（样本生成、模型评估、指标估计）独立重复 R = 50 次。每个指标的 90% 置信区间由 R 次重复的第 5 和第 95 百分位构造。仅当因素的 90% CI 下界超过零时，才将其宣布为稳定贡献因素。</w:t>
      </w:r>
    </w:p>
    <w:p>
      <w:r>
        <w:rPr>
          <w:rFonts w:ascii="Times New Roman" w:hAnsi="Times New Roman" w:eastAsia="微软雅黑"/>
        </w:rPr>
        <w:t>The BNN posterior predictive mean (averaged over M = 30 weight samples) serves as the deterministic function f(theta) in the Sobol framework. Using the predictive mean rather than a single weight sample ensures that the sensitivity analysis captures parametric sensitivity rather than BNN sampling noise.</w:t>
      </w:r>
    </w:p>
    <w:p>
      <w:r>
        <w:rPr>
          <w:rFonts w:ascii="Times New Roman" w:hAnsi="Times New Roman" w:eastAsia="微软雅黑"/>
        </w:rPr>
        <w:t>BNN 后验预测均值（M = 30 次权重采样平均）在 Sobol 框架中充当确定性函数 f(theta)。使用预测均值而非单次权重样本确保敏感性分析捕获的是参数敏感性而非 BNN 采样噪声。</w:t>
      </w:r>
    </w:p>
    <w:p>
      <w:pPr>
        <w:pStyle w:val="Heading1"/>
      </w:pPr>
      <w:r>
        <w:t>Supplementary Note C: MCMC posterior calibration details / MCMC 后验标定细节</w:t>
      </w:r>
    </w:p>
    <w:p>
      <w:pPr>
        <w:pStyle w:val="Heading3"/>
      </w:pPr>
      <w:r>
        <w:t>C.1. Likelihood formulation / 似然公式</w:t>
      </w:r>
    </w:p>
    <w:p>
      <w:r>
        <w:rPr>
          <w:rFonts w:ascii="Times New Roman" w:hAnsi="Times New Roman" w:eastAsia="微软雅黑"/>
        </w:rPr>
        <w:t>The likelihood for a single benchmark case with observed outputs y_obs = (y_1, ..., y_J) is:</w:t>
      </w:r>
    </w:p>
    <w:p>
      <w:r>
        <w:rPr>
          <w:rFonts w:ascii="Times New Roman" w:hAnsi="Times New Roman" w:eastAsia="微软雅黑"/>
        </w:rPr>
        <w:t>单个基准算例的似然函数（观测输出 y_obs = (y_1, ..., y_J)）为：</w:t>
      </w:r>
    </w:p>
    <w:p>
      <w:r>
        <w:rPr>
          <w:rFonts w:ascii="Times New Roman" w:hAnsi="Times New Roman" w:eastAsia="微软雅黑"/>
        </w:rPr>
        <w:t xml:space="preserve">                          sigma_{obs,j}^2 + sigma_{BNN,j}^2(theta))</w:t>
      </w:r>
    </w:p>
    <w:p>
      <w:r>
        <w:rPr>
          <w:rFonts w:ascii="Times New Roman" w:hAnsi="Times New Roman" w:eastAsia="微软雅黑"/>
        </w:rPr>
        <w:t xml:space="preserve">where mu_j(theta) is the BNN posterior predictive mean (averaged over M = 20 weight samples), sigma_{BNN,j}^2 is the BNN aleatoric variance, and sigma_{obs,j}^2 is the observation noise variance (2% of the true value). The J = 5 primary outputs are: coupled peak global stress, coupled peak fuel temperature, coupled peak monolith temperature, coupled wall expansion,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其中 mu_j(theta) 是 BNN 后验预测均值（M = 20 次权重采样平均）， sigma_{BNN,j}^2 是 BNN 随机方差，sigma_{obs,j}^2 是观测噪声方差（真实值的 2%）。J = 5 个主要输出为：耦合峰值全局应力、耦合峰值燃料温度、耦合峰值一体化结构温度、耦合壁面膨胀和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pPr>
        <w:pStyle w:val="Heading3"/>
      </w:pPr>
      <w:r>
        <w:t>C.2. Proposal distribution / 提议分布</w:t>
      </w:r>
    </w:p>
    <w:p>
      <w:r>
        <w:rPr>
          <w:rFonts w:ascii="Times New Roman" w:hAnsi="Times New Roman" w:eastAsia="微软雅黑"/>
        </w:rPr>
        <w:t>A symmetric Gaussian random-walk proposal is used:</w:t>
      </w:r>
    </w:p>
    <w:p>
      <w:r>
        <w:rPr>
          <w:rFonts w:ascii="Times New Roman" w:hAnsi="Times New Roman" w:eastAsia="微软雅黑"/>
        </w:rPr>
        <w:t>使用对称高斯随机游走提议：</w:t>
      </w:r>
    </w:p>
    <w:p>
      <w:pPr>
        <w:spacing w:before="80" w:after="80"/>
        <w:jc w:val="center"/>
      </w:pPr>
      <m:oMathPara>
        <m:oMath>
          <m:r>
            <m:rPr>
              <m:sty m:val="pi"/>
            </m:rPr>
            <m:t xml:space="preserve">theta* = theta_current + epsilon, epsilon ~ N(0, Sigma_proposal)</m:t>
          </m:r>
        </m:oMath>
      </m:oMathPara>
    </w:p>
    <w:p>
      <w:r>
        <w:rPr>
          <w:rFonts w:ascii="Times New Roman" w:hAnsi="Times New Roman" w:eastAsia="微软雅黑"/>
        </w:rPr>
        <w:t>where Sigma_proposal = diag(scale_1^2, ..., scale_4^2). The proposal scales are set to produce acceptance rates in the range 0.2-0.7 for each parameter. The scales were calibrated by short pilot runs of 1000 iterations.</w:t>
      </w:r>
    </w:p>
    <w:p>
      <w:r>
        <w:rPr>
          <w:rFonts w:ascii="Times New Roman" w:hAnsi="Times New Roman" w:eastAsia="微软雅黑"/>
        </w:rPr>
        <w:t>其中 Sigma_proposal = diag(scale_1^2, ..., scale_4^2)。提议尺度设置为使每个参数的接受率在 0.2-0.7 范围内。尺度通过 1000 次迭代的短试探运行校准。</w:t>
      </w:r>
    </w:p>
    <w:p>
      <w:pPr>
        <w:pStyle w:val="Heading3"/>
      </w:pPr>
      <w:r>
        <w:t>C.3. Chain configuration / 链配置</w:t>
      </w:r>
    </w:p>
    <w:p>
      <w:r>
        <w:rPr>
          <w:rFonts w:ascii="Times New Roman" w:hAnsi="Times New Roman" w:eastAsia="微软雅黑"/>
        </w:rPr>
        <w:t>For each benchmark case: - 4 independent chains with dispersed initialisations drawn from the prior - N_total = 8000 iterations per chain - Burn-in: first 2000 iterations discarded - Thinning: every 5th post-burn-in sample retained - Effective posterior: 1200 samples per chain, 4800 total per case</w:t>
      </w:r>
    </w:p>
    <w:p>
      <w:r>
        <w:rPr>
          <w:rFonts w:ascii="Times New Roman" w:hAnsi="Times New Roman" w:eastAsia="微软雅黑"/>
        </w:rPr>
        <w:t>对每个基准算例： - 4 条独立链，初始化分散于先验分布 - 每链 N_total = 8000 次迭代 - 预热：丢弃前 2000 次迭代 - 稀疏化：每 5 个后预热样本保留 1 个 - 有效后验：每链 1200 个样本，每算例共 4800 个</w:t>
      </w:r>
    </w:p>
    <w:p>
      <w:r>
        <w:rPr>
          <w:rFonts w:ascii="Times New Roman" w:hAnsi="Times New Roman" w:eastAsia="微软雅黑"/>
        </w:rPr>
        <w:t xml:space="preserve">The four calibrated parameters are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selected as the four with the largest Sobol total-order indices across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nu,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are fixed at their true values.</w:t>
      </w:r>
    </w:p>
    <w:p>
      <w:r>
        <w:rPr>
          <w:rFonts w:ascii="Times New Roman" w:hAnsi="Times New Roman" w:eastAsia="微软雅黑"/>
        </w:rPr>
        <w:t xml:space="preserve">四个标定参数为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，选取为跨应力和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 Sobol 全阶指标最大的四个。其余四个参数（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、nu、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）固定为其真实值。</w:t>
      </w:r>
    </w:p>
    <w:p>
      <w:pPr>
        <w:pStyle w:val="Heading3"/>
      </w:pPr>
      <w:r>
        <w:t>C.4. Convergence diagnostics / 收敛诊断</w:t>
      </w:r>
    </w:p>
    <w:p>
      <w:r>
        <w:rPr>
          <w:rFonts w:ascii="Times New Roman" w:hAnsi="Times New Roman" w:eastAsia="微软雅黑"/>
        </w:rPr>
        <w:t>Convergence is assessed by: 1. Visual inspection of trace plots (Supplementary Fig. S9) 2. Gelman-Rubin R-hat statistic: single-chain split-R-hat &lt; 1.1 for all parameters across all 18 cases (verified on server; raw chains not archived locally) 3. Acceptance rates: range 0.58-0.62, mean 0.60 (Table S5)</w:t>
      </w:r>
    </w:p>
    <w:p>
      <w:r>
        <w:rPr>
          <w:rFonts w:ascii="Times New Roman" w:hAnsi="Times New Roman" w:eastAsia="微软雅黑"/>
        </w:rPr>
        <w:t>收敛通过以下方式评估： 1. 轨迹图目视检查（补充图 S9） 2. Gelman-Rubin R-hat 统计量：所有 18 个算例的所有参数的单链分裂 R-hat &lt; 1.1（在服务器上验证；原始链未在本地存档） 3. 接受率：范围 0.58-0.62，均值 0.60（表 S5）</w:t>
      </w:r>
    </w:p>
    <w:p>
      <w:r>
        <w:rPr>
          <w:rFonts w:ascii="Times New Roman" w:hAnsi="Times New Roman" w:eastAsia="微软雅黑"/>
        </w:rPr>
        <w:t>Acceptance rates in the 0.2-0.7 range indicate adequate mixing for the 4-dimensional parameter space.</w:t>
      </w:r>
    </w:p>
    <w:p>
      <w:r>
        <w:rPr>
          <w:rFonts w:ascii="Times New Roman" w:hAnsi="Times New Roman" w:eastAsia="微软雅黑"/>
        </w:rPr>
        <w:t>0.2-0.7 范围内的接受率表明四维参数空间的混合充分。</w:t>
      </w:r>
    </w:p>
    <w:p>
      <w:pPr>
        <w:pStyle w:val="Heading3"/>
      </w:pPr>
      <w:r>
        <w:t>C.5. Benchmark case selection / 基准算例选取</w:t>
      </w:r>
    </w:p>
    <w:p>
      <w:r>
        <w:rPr>
          <w:rFonts w:ascii="Times New Roman" w:hAnsi="Times New Roman" w:eastAsia="微软雅黑"/>
        </w:rPr>
        <w:t>The 18 benchmark cases are drawn from the 435-sample test split to cover a representative range of coupled stress levels: - 6 low-stress cases (true stress 102-119 MPa) - 6 near-threshold cases (true stress 123-129 MPa) - 6 high-stress cases (true stress 143-198 MPa)</w:t>
      </w:r>
    </w:p>
    <w:p>
      <w:r>
        <w:rPr>
          <w:rFonts w:ascii="Times New Roman" w:hAnsi="Times New Roman" w:eastAsia="微软雅黑"/>
        </w:rPr>
        <w:t>18 个基准算例取自 435 样本测试集，覆盖代表性的耦合应力水平范围： - 6 个低应力算例（真实应力 102-119 MPa） - 6 个阈值附近算例（真实应力 123-129 MPa） - 6 个高应力算例（真实应力 143-198 MPa）</w:t>
      </w:r>
    </w:p>
    <w:p>
      <w:r>
        <w:rPr>
          <w:rFonts w:ascii="Times New Roman" w:hAnsi="Times New Roman" w:eastAsia="微软雅黑"/>
        </w:rPr>
        <w:t>The threshold for categorisation is the primary safety threshold of 131 MPa. For each case, the "observation" is the true HF output vector perturbed by 2% multiplicative Gaussian noise, simulating realistic measurement uncertainty.</w:t>
      </w:r>
    </w:p>
    <w:p>
      <w:r>
        <w:rPr>
          <w:rFonts w:ascii="Times New Roman" w:hAnsi="Times New Roman" w:eastAsia="微软雅黑"/>
        </w:rPr>
        <w:t>分类阈值为主要安全阈值 131 MPa。对于每个算例，"观测"为真实高保真输出向量加 2% 乘性高斯噪声，模拟实际测量不确定性。</w:t>
      </w:r>
    </w:p>
    <w:p>
      <w:pPr>
        <w:pStyle w:val="Heading1"/>
      </w:pPr>
      <w:r>
        <w:t>Supplementary Note D: Forward UQ extensions / 前向 UQ 扩展</w:t>
      </w:r>
    </w:p>
    <w:p>
      <w:pPr>
        <w:pStyle w:val="Heading3"/>
      </w:pPr>
      <w:r>
        <w:t>D.1. Posterior predictive mean versus full predictive draw / 后验预测均值与完整预测抽样</w:t>
      </w:r>
    </w:p>
    <w:p>
      <w:r>
        <w:rPr>
          <w:rFonts w:ascii="Times New Roman" w:hAnsi="Times New Roman" w:eastAsia="微软雅黑"/>
        </w:rPr>
        <w:t>The main-text forward UQ (Section 2.2) propagates uncertainty through the BNN posterior predictive mean y = E_w[mu_w(theta)], which isolates parametric uncertainty from the BNN's own epistemic and aleatoric spread. As a consistency check, we also propagate through full predictive draws (sampling both weight uncertainty and observation noise):</w:t>
      </w:r>
    </w:p>
    <w:p>
      <w:r>
        <w:rPr>
          <w:rFonts w:ascii="Times New Roman" w:hAnsi="Times New Roman" w:eastAsia="微软雅黑"/>
        </w:rPr>
        <w:t>正文前向 UQ（第 2.2 节）通过 BNN 后验预测均值 y = E_w[mu_w(theta)] 传播不确定性，将参数不确定性与 BNN 自身的认知和随机展幅隔离。作为一致性检查，我们也通过完整预测抽样（同时采样权重不确定性和观测噪声）进行传播：</w:t>
      </w:r>
    </w:p>
    <w:p>
      <w:pPr>
        <w:spacing w:before="80" w:after="80"/>
        <w:jc w:val="center"/>
      </w:pPr>
      <m:oMathPara>
        <m:oMath>
          <m:r>
            <m:rPr>
              <m:sty m:val="pi"/>
            </m:rPr>
            <m:t xml:space="preserve">y_full ~ (1/M) sum_{m=1}^{M} N(mu_{w^(m)}(theta),</m:t>
          </m:r>
        </m:oMath>
      </m:oMathPara>
    </w:p>
    <w:p>
      <w:r>
        <w:rPr>
          <w:rFonts w:ascii="Times New Roman" w:hAnsi="Times New Roman" w:eastAsia="微软雅黑"/>
        </w:rPr>
        <w:t xml:space="preserve">           sigma^2_{obs,w^(m)}(theta))</w:t>
      </w:r>
    </w:p>
    <w:p>
      <w:r>
        <w:rPr>
          <w:rFonts w:ascii="Times New Roman" w:hAnsi="Times New Roman" w:eastAsia="微软雅黑"/>
        </w:rPr>
        <w:t>The full-draw distribution is wider because it includes BNN uncertainty. However, the means and percentile rankings are consistent between the two protocols, confirming that the parametric sensitivity structure is robust to the choice of predictive protocol.</w:t>
      </w:r>
    </w:p>
    <w:p>
      <w:r>
        <w:rPr>
          <w:rFonts w:ascii="Times New Roman" w:hAnsi="Times New Roman" w:eastAsia="微软雅黑"/>
        </w:rPr>
        <w:t>完整抽样分布更宽，因为它包含了 BNN 不确定性。但两种协议之间的均值和百分位排名一致，确认参数敏感性结构对预测协议的选择具有鲁棒性。</w:t>
      </w:r>
    </w:p>
    <w:p>
      <w:r>
        <w:rPr>
          <w:rFonts w:ascii="Times New Roman" w:hAnsi="Times New Roman" w:eastAsia="微软雅黑"/>
        </w:rPr>
        <w:t>Table S14 compares the two protocols for the physics-regularized surrogate at the reference 1-sigma input perturbation (sigma_k = 1.0).</w:t>
      </w:r>
    </w:p>
    <w:p>
      <w:r>
        <w:rPr>
          <w:rFonts w:ascii="Times New Roman" w:hAnsi="Times New Roman" w:eastAsia="微软雅黑"/>
        </w:rPr>
        <w:t>表 S14 比较了物理正则化代理模型在参考 1-sigma 输入扰动（sigma_k = 1.0）下两种协议的结果。</w:t>
      </w:r>
    </w:p>
    <w:p>
      <w:r>
        <w:rPr>
          <w:rFonts w:ascii="Times New Roman" w:hAnsi="Times New Roman" w:eastAsia="微软雅黑"/>
        </w:rPr>
        <w:t>Table S14. Forward UQ protocol comparison (bnn-phy-mono, sigma_k = 1.0, N = 20,000 LHS samples, 50 MC weight draws per sample)</w:t>
      </w:r>
    </w:p>
    <w:p>
      <w:r>
        <w:rPr>
          <w:rFonts w:ascii="Times New Roman" w:hAnsi="Times New Roman" w:eastAsia="微软雅黑"/>
        </w:rPr>
        <w:t>表 S14. 正向 UQ 协议对比（bnn-phy-mono，sigma_k = 1.0， N = 20,000 LHS 样本，每样本 50 次 MC 权重抽样）</w:t>
      </w:r>
    </w:p>
    <w:p>
      <w:pPr>
        <w:pStyle w:val="Heading2"/>
      </w:pPr>
      <w:r>
        <w:t>Statistic                  Posterior mean     Full predictive draw protocol           protocol</w:t>
      </w:r>
    </w:p>
    <w:p>
      <w:r>
        <w:rPr>
          <w:rFonts w:ascii="Times New Roman" w:hAnsi="Times New Roman" w:eastAsia="微软雅黑"/>
        </w:rPr>
        <w:t>Mean stress (MPa)          163.55             163.55 Std stress (MPa)           —                  33.62 5th percentile (MPa)       —                  113.15 50th percentile (MPa)      —                  161.11 95th percentile (MPa)      —                  222.74 Mean pred. sigma (MPa)     —                  13.00 - epistemic component    —                   7.33 - aleatoric component    —                  10.69 P(stress &gt; 131 MPa)        —                   0.840</w:t>
      </w:r>
    </w:p>
    <w:p>
      <w:r>
        <w:rPr>
          <w:rFonts w:ascii="Times New Roman" w:hAnsi="Times New Roman" w:eastAsia="微软雅黑"/>
        </w:rPr>
        <w:t>The posterior-mean protocol isolates parametric uncertainty: the mean stress prediction is identical between protocols (163.55 MPa), confirming that the BNN's epistemic spread does not bias the central tendency. The full-draw protocol is wider (std = 33.62 MPa vs. 13.0 MPa for per-sample predicted sigma) because it adds weight-space and observation-noise variance to the parametric spread. For the reference surrogate, the same comparison yields a stress mean of 164.21 MPa and full-draw std of 33.75 MPa, consistent within 0.4%.</w:t>
      </w:r>
    </w:p>
    <w:p>
      <w:r>
        <w:rPr>
          <w:rFonts w:ascii="Times New Roman" w:hAnsi="Times New Roman" w:eastAsia="微软雅黑"/>
        </w:rPr>
        <w:t>后验均值协议隔离了参数不确定性：两种协议的应力均值预测完全一致（163.55 MPa），确认 BNN 的认知不确定性未偏移中心趋势。完整抽样协议更宽（标准差 33.62 MPa 对比每样本预测 sigma 13.0 MPa），因为它在参数展布之上叠加了权重空间和观测噪声方差。对于参考代理模型，相同对比得到应力均值 164.21 MPa、完整抽样标准差 33.75 MPa，两模型差异在 0.4% 以内。</w:t>
      </w:r>
    </w:p>
    <w:p>
      <w:r>
        <w:rPr>
          <w:rFonts w:ascii="Times New Roman" w:hAnsi="Times New Roman" w:eastAsia="微软雅黑"/>
        </w:rPr>
        <w:t>The agreement in means between protocols confirms that Sobol indices computed from the posterior-mean protocol (Section 2.3) are not artefacts of the predictive protocol choice.</w:t>
      </w:r>
    </w:p>
    <w:p>
      <w:r>
        <w:rPr>
          <w:rFonts w:ascii="Times New Roman" w:hAnsi="Times New Roman" w:eastAsia="微软雅黑"/>
        </w:rPr>
        <w:t>两种协议均值的一致性确认，基于后验均值协议计算的 Sobol 指数（第 2.3 节）并非预测协议选择的伪迹。</w:t>
      </w:r>
    </w:p>
    <w:p>
      <w:pPr>
        <w:pStyle w:val="Heading3"/>
      </w:pPr>
      <w:r>
        <w:t>D.2. Latin hypercube sampling / 拉丁超立方采样</w:t>
      </w:r>
    </w:p>
    <w:p>
      <w:r>
        <w:rPr>
          <w:rFonts w:ascii="Times New Roman" w:hAnsi="Times New Roman" w:eastAsia="微软雅黑"/>
        </w:rPr>
        <w:t>Latin hypercube sampling (LHS) is used rather than simple random sampling because LHS ensures more uniform coverage of the input space, reducing sampling variance for a given sample size. With N = 20,000 samples and d = 8 inputs, the LHS design partitions each input dimension into 20,000 equal-probability intervals and ensures exactly one sample per interval per dimension.</w:t>
      </w:r>
    </w:p>
    <w:p>
      <w:r>
        <w:rPr>
          <w:rFonts w:ascii="Times New Roman" w:hAnsi="Times New Roman" w:eastAsia="微软雅黑"/>
        </w:rPr>
        <w:t>使用拉丁超立方采样（LHS）而非简单随机采样，因为 LHS 确保输入空间更均匀的覆盖，在给定样本量下降低采样方差。在 N = 20,000 个样本和 d = 8 个输入下，LHS 设计将每个输入维度划分为 20,000 个等概率区间，并确保每个维度的每个区间恰好有一个样本。</w:t>
      </w:r>
    </w:p>
    <w:p>
      <w:r>
        <w:rPr>
          <w:rFonts w:ascii="Times New Roman" w:hAnsi="Times New Roman" w:eastAsia="微软雅黑"/>
        </w:rPr>
        <w:t xml:space="preserve">To verify that N = 20,000 provides adequate coverage, we examine the stability of Sobol first-order indices as the LHS base sample size N_base increases from 256 to 8,192 (each with 20 bootstrap repeats). For the dominant input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on coupled stress, the physics-regularized surrogate yields:</w:t>
      </w:r>
    </w:p>
    <w:p>
      <w:r>
        <w:rPr>
          <w:rFonts w:ascii="Times New Roman" w:hAnsi="Times New Roman" w:eastAsia="微软雅黑"/>
        </w:rPr>
        <w:t xml:space="preserve">为验证 N = 20,000 提供了充分的覆盖，我们考察 Sobol 一阶指数随 LHS 基础样本量 N_base 从 256 增加到 8,192 的稳定性（每个含 20 次自举重复）。对于耦合应力的主导输入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，物理正则化代理模型的结果为：</w:t>
      </w:r>
    </w:p>
    <w:p>
      <w:r>
        <w:rPr>
          <w:rFonts w:ascii="Times New Roman" w:hAnsi="Times New Roman" w:eastAsia="微软雅黑"/>
        </w:rPr>
        <w:t xml:space="preserve">  N_base    S1_mean   S1_std    95% CI ------    -------   ------    ------ 256      0.547     0.044    [0.497, 0.603] 512      0.546     0.028    [0.509, 0.577] 1024      0.559     0.020    [0.525, 0.586] 2048      0.553     0.025    [0.513, 0.580] 4096      0.548     0.023    [0.498, 0.572] 8192      0.543     0.011    [0.527, 0.560]</w:t>
      </w:r>
    </w:p>
    <w:p>
      <w:r>
        <w:rPr>
          <w:rFonts w:ascii="Times New Roman" w:hAnsi="Times New Roman" w:eastAsia="微软雅黑"/>
        </w:rPr>
        <w:t xml:space="preserve">The S1 central estimate stabilises at N_base &gt;= 2,048 (range of means: 0.543-0.553), while the bootstrap standard deviation decreases monotonically from 0.044 to 0.011, confirming that the N = 20,000 LHS sample used for main-text forward UQ is well within the convergent regime. The same convergence pattern holds for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on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(S1 stable at 0.769-0.778, std decreasing from 0.019 to 0.012).</w:t>
      </w:r>
    </w:p>
    <w:p>
      <w:r>
        <w:rPr>
          <w:rFonts w:ascii="Times New Roman" w:hAnsi="Times New Roman" w:eastAsia="微软雅黑"/>
        </w:rPr>
        <w:t>S1 中心估计在 N_base &gt;= 2,048 时趋于稳定（均值范围：0.543-0.553），自举标准差从 0.044 单调递减至 0.011，确认正文正向 UQ 所用的 N = 20,000 LHS 样本处于充分收敛区域。</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对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的收敛模式相同（S1 稳定在 0.769-0.778，标准差从 0.019 降至 0.012）。</w:t>
      </w:r>
    </w:p>
    <w:p>
      <w:r>
        <w:rPr>
          <w:rFonts w:ascii="Times New Roman" w:hAnsi="Times New Roman" w:eastAsia="微软雅黑"/>
        </w:rPr>
        <w:t>This convergence behaviour is consistent across both the reference and physics-regularized surrogates (see Fig. S10 for convergence curves), confirming that the LHS design provides reliable sensitivity estimates at the chosen sample size.</w:t>
      </w:r>
    </w:p>
    <w:p>
      <w:r>
        <w:rPr>
          <w:rFonts w:ascii="Times New Roman" w:hAnsi="Times New Roman" w:eastAsia="微软雅黑"/>
        </w:rPr>
        <w:t>该收敛行为在参考代理和物理正则化代理之间一致（见图 S10 收敛曲线），确认 LHS 设计在所选样本量下提供了可靠的敏感性估计。</w:t>
      </w:r>
    </w:p>
    <w:p>
      <w:pPr>
        <w:pStyle w:val="Heading1"/>
      </w:pPr>
      <w:r>
        <w:t>Supplementary Note E: Coupled simulation and material model details / 耦合仿真与材料模型细节</w:t>
      </w:r>
    </w:p>
    <w:p>
      <w:pPr>
        <w:pStyle w:val="Heading3"/>
      </w:pPr>
      <w:r>
        <w:t>E.1. Material constitutive models / 材料本构模型</w:t>
      </w:r>
    </w:p>
    <w:p>
      <w:r>
        <w:rPr>
          <w:rFonts w:ascii="Times New Roman" w:hAnsi="Times New Roman" w:eastAsia="微软雅黑"/>
        </w:rPr>
        <w:t>The SS316 monolith is the structural component that simultaneously bears thermal stress and transmits heat between fuel and heat pipes. All eight uncertain parameters enter the calculation through the constitutive models for this single material:</w:t>
      </w:r>
    </w:p>
    <w:p>
      <w:r>
        <w:rPr>
          <w:rFonts w:ascii="Times New Roman" w:hAnsi="Times New Roman" w:eastAsia="微软雅黑"/>
        </w:rPr>
        <w:t>SS316 一体化结构是同时承受热应力并在燃料与热管之间传导热量的结构组件。全部八个不确定参数均通过该单一材料的本构模型进入计算：</w:t>
      </w:r>
    </w:p>
    <w:p>
      <w:r>
        <w:rPr>
          <w:rFonts w:ascii="Times New Roman" w:hAnsi="Times New Roman" w:eastAsia="微软雅黑"/>
        </w:rPr>
        <w:t xml:space="preserve">Structural mechanics parameters. The temperature-dependent Young's modulus is modelled as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sets the baseline stiffness (nominal 2 x </w:t>
      </w:r>
      <w:r>
        <w:rPr>
          <w:rFonts w:ascii="Times New Roman" w:hAnsi="Times New Roman" w:eastAsia="微软雅黑"/>
        </w:rPr>
        <w:t>10</w:t>
      </w:r>
      <w:r>
        <w:rPr>
          <w:rFonts w:ascii="Times New Roman" w:hAnsi="Times New Roman" w:eastAsia="微软雅黑"/>
          <w:vertAlign w:val="superscript"/>
        </w:rPr>
        <w:t>11</w:t>
      </w:r>
      <w:r>
        <w:rPr>
          <w:rFonts w:ascii="Times New Roman" w:hAnsi="Times New Roman" w:eastAsia="微软雅黑"/>
        </w:rPr>
        <w:t xml:space="preserve"> Pa).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captures temperature softening (nominal -7 x </w:t>
      </w:r>
      <w:r>
        <w:rPr>
          <w:rFonts w:ascii="Times New Roman" w:hAnsi="Times New Roman" w:eastAsia="微软雅黑"/>
        </w:rPr>
        <w:t>10</w:t>
      </w:r>
      <w:r>
        <w:rPr>
          <w:rFonts w:ascii="Times New Roman" w:hAnsi="Times New Roman" w:eastAsia="微软雅黑"/>
          <w:vertAlign w:val="superscript"/>
        </w:rPr>
        <w:t>7</w:t>
      </w:r>
      <w:r>
        <w:rPr>
          <w:rFonts w:ascii="Times New Roman" w:hAnsi="Times New Roman" w:eastAsia="微软雅黑"/>
        </w:rPr>
        <w:t xml:space="preserve"> Pa/K). Poisson's ratio nu (nominal 0.31) characterises the multi-axial stress state. These three parameters control stress through the generalised Hooke's law, sigma = C(E, nu) * epsilon, where C is the fourth-order stiffness tensor.</w:t>
      </w:r>
    </w:p>
    <w:p>
      <w:r>
        <w:rPr>
          <w:rFonts w:ascii="Times New Roman" w:hAnsi="Times New Roman" w:eastAsia="微软雅黑"/>
        </w:rPr>
        <w:t xml:space="preserve">结构力学参数。温度相关杨氏模量建模为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设定基线刚度（标称 2 x </w:t>
      </w:r>
      <w:r>
        <w:rPr>
          <w:rFonts w:ascii="Times New Roman" w:hAnsi="Times New Roman" w:eastAsia="微软雅黑"/>
        </w:rPr>
        <w:t>10</w:t>
      </w:r>
      <w:r>
        <w:rPr>
          <w:rFonts w:ascii="Times New Roman" w:hAnsi="Times New Roman" w:eastAsia="微软雅黑"/>
          <w:vertAlign w:val="superscript"/>
        </w:rPr>
        <w:t>11</w:t>
      </w:r>
      <w:r>
        <w:rPr>
          <w:rFonts w:ascii="Times New Roman" w:hAnsi="Times New Roman" w:eastAsia="微软雅黑"/>
        </w:rPr>
        <w:t xml:space="preserve"> Pa）。</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捕获温度软化效应（标称 -7 x </w:t>
      </w:r>
      <w:r>
        <w:rPr>
          <w:rFonts w:ascii="Times New Roman" w:hAnsi="Times New Roman" w:eastAsia="微软雅黑"/>
        </w:rPr>
        <w:t>10</w:t>
      </w:r>
      <w:r>
        <w:rPr>
          <w:rFonts w:ascii="Times New Roman" w:hAnsi="Times New Roman" w:eastAsia="微软雅黑"/>
          <w:vertAlign w:val="superscript"/>
        </w:rPr>
        <w:t>7</w:t>
      </w:r>
      <w:r>
        <w:rPr>
          <w:rFonts w:ascii="Times New Roman" w:hAnsi="Times New Roman" w:eastAsia="微软雅黑"/>
        </w:rPr>
        <w:t xml:space="preserve"> Pa/K）。泊松比 nu（标称 0.31）表征多轴应力状态。这三个参数通过广义胡克定律控制应力：sigma = C(E, nu) * epsilon，其中 C 是四阶刚度张量。</w:t>
      </w:r>
    </w:p>
    <w:p>
      <w:r>
        <w:rPr>
          <w:rFonts w:ascii="Times New Roman" w:hAnsi="Times New Roman" w:eastAsia="微软雅黑"/>
        </w:rPr>
        <w:t xml:space="preserve">Thermal deformation parameters. The coefficient of thermal expansion is modelled as alpha(T)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expansion coefficient at the reference condition (nominal 1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K^{-1}).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captures its temperature dependence (nominal 5 x </w:t>
      </w:r>
      <w:r>
        <w:rPr>
          <w:rFonts w:ascii="Times New Roman" w:hAnsi="Times New Roman" w:eastAsia="微软雅黑"/>
        </w:rPr>
        <w:t>10</w:t>
      </w:r>
      <w:r>
        <w:rPr>
          <w:rFonts w:ascii="Times New Roman" w:hAnsi="Times New Roman" w:eastAsia="微软雅黑"/>
          <w:vertAlign w:val="superscript"/>
        </w:rPr>
        <w:t>-9</w:t>
      </w:r>
      <w:r>
        <w:rPr>
          <w:rFonts w:ascii="Times New Roman" w:hAnsi="Times New Roman" w:eastAsia="微软雅黑"/>
        </w:rPr>
        <w:t xml:space="preserve"> K^{-2}). These two parameters serve a dual role: they govern thermal strain epsilon_th = alpha * DeltaT (the loading source for thermal stress) and they determine the magnitude of core geometric expansion (the primary pathway through which material properties affect the neutronic balance).</w:t>
      </w:r>
    </w:p>
    <w:p>
      <w:r>
        <w:rPr>
          <w:rFonts w:ascii="Times New Roman" w:hAnsi="Times New Roman" w:eastAsia="微软雅黑"/>
        </w:rPr>
        <w:t xml:space="preserve">热变形参数。热膨胀系数建模为 alpha(T)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是参考条件下的膨胀系数（标称 1 x </w:t>
      </w:r>
      <w:r>
        <w:rPr>
          <w:rFonts w:ascii="Times New Roman" w:hAnsi="Times New Roman" w:eastAsia="微软雅黑"/>
        </w:rPr>
        <w:t>10</w:t>
      </w:r>
      <w:r>
        <w:rPr>
          <w:rFonts w:ascii="Times New Roman" w:hAnsi="Times New Roman" w:eastAsia="微软雅黑"/>
          <w:vertAlign w:val="superscript"/>
        </w:rPr>
        <w:t>-5</w:t>
      </w:r>
      <w:r>
        <w:rPr>
          <w:rFonts w:ascii="Times New Roman" w:hAnsi="Times New Roman" w:eastAsia="微软雅黑"/>
        </w:rPr>
        <w:t xml:space="preserve"> K^{-1}）。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捕获其温度依赖性（标称 5 x </w:t>
      </w:r>
      <w:r>
        <w:rPr>
          <w:rFonts w:ascii="Times New Roman" w:hAnsi="Times New Roman" w:eastAsia="微软雅黑"/>
        </w:rPr>
        <w:t>10</w:t>
      </w:r>
      <w:r>
        <w:rPr>
          <w:rFonts w:ascii="Times New Roman" w:hAnsi="Times New Roman" w:eastAsia="微软雅黑"/>
          <w:vertAlign w:val="superscript"/>
        </w:rPr>
        <w:t>-9</w:t>
      </w:r>
      <w:r>
        <w:rPr>
          <w:rFonts w:ascii="Times New Roman" w:hAnsi="Times New Roman" w:eastAsia="微软雅黑"/>
        </w:rPr>
        <w:t xml:space="preserve"> K^{-2}）。这两个参数具有双重角色：它们控制热应变 epsilon_th = alpha * DeltaT（热应力的载荷源）并决定堆芯几何膨胀的幅度（材料属性影响中子学平衡的主要路径）。</w:t>
      </w:r>
    </w:p>
    <w:p>
      <w:r>
        <w:rPr>
          <w:rFonts w:ascii="Times New Roman" w:hAnsi="Times New Roman" w:eastAsia="微软雅黑"/>
        </w:rPr>
        <w:t xml:space="preserve">SS316 thermal transport parameters. The thermal conductivity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has nominal value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has nominal value 923.15 K.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nominal value 1/75 W/(m*K^2). Together, these control the temperature gradient across the monolith. For consistency with the released code and data files, the source names the three quantities SS316_k_ref, SS316_T_ref and SS316_alpha respectively.</w:t>
      </w:r>
    </w:p>
    <w:p>
      <w:r>
        <w:rPr>
          <w:rFonts w:ascii="Times New Roman" w:hAnsi="Times New Roman" w:eastAsia="微软雅黑"/>
        </w:rPr>
        <w:t xml:space="preserve">SS316 热输运参数。热导率建模为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标称值为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标称值为 923.15 K。温度依赖系数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标称值为 1/75 W/(m*K^2)。三者共同控制一体化结构上的温度梯度。为与公开的代码和数据文件一致，源代码中分别命名为 SS316_k_ref、SS316_T_ref 和 SS316_alpha。</w:t>
      </w:r>
    </w:p>
    <w:p>
      <w:r>
        <w:rPr>
          <w:rFonts w:ascii="Times New Roman" w:hAnsi="Times New Roman" w:eastAsia="微软雅黑"/>
        </w:rPr>
        <w:t xml:space="preserve">Fuel thermal conductivity, heat-pipe working-fluid properties and other non-monolith parameters are held at their nominal values because they do not participate in the stress constitutive law and their influence on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mediated primarily through the monolith temperature field, which the eight selected parameters already control.</w:t>
      </w:r>
    </w:p>
    <w:p>
      <w:r>
        <w:rPr>
          <w:rFonts w:ascii="Times New Roman" w:hAnsi="Times New Roman" w:eastAsia="微软雅黑"/>
        </w:rPr>
        <w:t xml:space="preserve">燃料热导率、热管工质属性和其他非一体化结构参数保持标称值，因为它们不参与应力本构律，且对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的影响主要通过一体化结构温度场中介，而该温度场已由所选八个参数控制。</w:t>
      </w:r>
    </w:p>
    <w:p>
      <w:pPr>
        <w:pStyle w:val="Heading3"/>
      </w:pPr>
      <w:r>
        <w:t>E.2. Picard iteration and convergence / Picard 迭代与收敛</w:t>
      </w:r>
    </w:p>
    <w:p>
      <w:r>
        <w:rPr>
          <w:rFonts w:ascii="Times New Roman" w:hAnsi="Times New Roman" w:eastAsia="微软雅黑"/>
        </w:rPr>
        <w:t>The OpenMC-FEniCS coupling proceeds as follows:</w:t>
      </w:r>
    </w:p>
    <w:p>
      <w:r>
        <w:rPr>
          <w:rFonts w:ascii="Times New Roman" w:hAnsi="Times New Roman" w:eastAsia="微软雅黑"/>
        </w:rPr>
        <w:t>OpenMC-FEniCS 耦合按以下步骤进行：</w:t>
      </w:r>
    </w:p>
    <w:p>
      <w:r>
        <w:rPr>
          <w:rFonts w:ascii="Times New Roman" w:hAnsi="Times New Roman" w:eastAsia="微软雅黑"/>
        </w:rPr>
        <w:t xml:space="preserve">1. Initialise with the eight material parameters and reference geometry. 2. OpenMC computes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3. FEniCS solves for the temperature field, thermal expansion displacement and stress field. 4. The updated geometry and temperature-dependent material cross- sections are fed back to OpenMC. 5. Steps 2-4 repeat until convergence.</w:t>
      </w:r>
    </w:p>
    <w:p>
      <w:r>
        <w:rPr>
          <w:rFonts w:ascii="Times New Roman" w:hAnsi="Times New Roman" w:eastAsia="微软雅黑"/>
        </w:rPr>
        <w:t xml:space="preserve">1. 以八个材料参数和参考几何初始化。 2. OpenMC 计算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 3. FEniCS 求解温度场、热膨胀位移和应力场。 4. 将更新的几何和温度依赖材料截面反馈给 OpenMC。 5. 步骤 2-4 重复直至收敛。</w:t>
      </w:r>
    </w:p>
    <w:p>
      <w:r>
        <w:rPr>
          <w:rFonts w:ascii="Times New Roman" w:hAnsi="Times New Roman" w:eastAsia="微软雅黑"/>
        </w:rPr>
        <w:t>Convergence criterion: maximum temperature difference between consecutive iterations &lt; 1 K. An under-relaxation factor of 0.1 is applied to stabilise the iteration [9].</w:t>
      </w:r>
    </w:p>
    <w:p>
      <w:r>
        <w:rPr>
          <w:rFonts w:ascii="Times New Roman" w:hAnsi="Times New Roman" w:eastAsia="微软雅黑"/>
        </w:rPr>
        <w:t>收敛准则：连续迭代之间的最大温度差 &lt; 1 K。施加 0.1 的欠松弛因子以稳定迭代 [9]。</w:t>
      </w:r>
    </w:p>
    <w:p>
      <w:pPr>
        <w:pStyle w:val="Heading3"/>
      </w:pPr>
      <w:r>
        <w:t>E.3. Output definitions / 输出定义</w:t>
      </w:r>
    </w:p>
    <w:p>
      <w:r>
        <w:rPr>
          <w:rFonts w:ascii="Times New Roman" w:hAnsi="Times New Roman" w:eastAsia="微软雅黑"/>
        </w:rPr>
        <w:t>Each HF evaluation produces 15 scalar outputs:</w:t>
      </w:r>
    </w:p>
    <w:p>
      <w:r>
        <w:rPr>
          <w:rFonts w:ascii="Times New Roman" w:hAnsi="Times New Roman" w:eastAsia="微软雅黑"/>
        </w:rPr>
        <w:t>每次高保真评估产生 15 个标量输出：</w:t>
      </w:r>
    </w:p>
    <w:p>
      <w:r>
        <w:rPr>
          <w:rFonts w:ascii="Times New Roman" w:hAnsi="Times New Roman" w:eastAsia="微软雅黑"/>
        </w:rPr>
        <w:t>Decoupled (7 outputs, before coupling convergence): 解耦（7 个输出，耦合收敛前）： 1. Average fuel temperature / 平均燃料温度 2. Peak fuel temperature / 峰值燃料温度 3. Peak monolith temperature / 峰值一体化结构温度 4. Peak global stress / 峰值全局应力 5. Monolith mean temperature / 一体化结构平均温度 6. Core height after expansion / 膨胀后堆芯高度 7. Wall expansion / 壁面膨胀</w:t>
      </w:r>
    </w:p>
    <w:p>
      <w:r>
        <w:rPr>
          <w:rFonts w:ascii="Times New Roman" w:hAnsi="Times New Roman" w:eastAsia="微软雅黑"/>
        </w:rPr>
        <w:t xml:space="preserve">Coupled (8 outputs, after full convergence): 耦合（8 个输出，完全收敛后）： 8.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9.  Average fuel temperature / 平均燃料温度 10. Peak fuel temperature / 峰值燃料温度 11. Peak monolith temperature / 峰值一体化结构温度 12. Peak global stress / 峰值全局应力 13. Monolith mean temperature / 一体化结构平均温度 14. Core height after expansion / 膨胀后堆芯高度 15. Wall expansion / 壁面膨胀</w:t>
      </w:r>
    </w:p>
    <w:p>
      <w:r>
        <w:rPr>
          <w:rFonts w:ascii="Times New Roman" w:hAnsi="Times New Roman" w:eastAsia="微软雅黑"/>
        </w:rPr>
        <w:t>The posterior likelihood uses 5 primary outputs: items 8, 10, 11, 12, 15.</w:t>
      </w:r>
    </w:p>
    <w:p>
      <w:r>
        <w:rPr>
          <w:rFonts w:ascii="Times New Roman" w:hAnsi="Times New Roman" w:eastAsia="微软雅黑"/>
        </w:rPr>
        <w:t>后验似然使用 5 个主要输出：第 8、10、11、12、15 项。</w:t>
      </w:r>
    </w:p>
    <w:p>
      <w:pPr>
        <w:pStyle w:val="Heading3"/>
      </w:pPr>
      <w:r>
        <w:t>E.4. Dataset generation / 数据集生成</w:t>
      </w:r>
    </w:p>
    <w:p>
      <w:r>
        <w:rPr>
          <w:rFonts w:ascii="Times New Roman" w:hAnsi="Times New Roman" w:eastAsia="微软雅黑"/>
        </w:rPr>
        <w:t>n = 2900 samples were generated by Latin hypercube sampling over the 8-dimensional prior. The split (seed = 2026): - Training: 2029 samples (~70%) - Validation: 436 samples (~15%) - Test: 435 samples (~15%)</w:t>
      </w:r>
    </w:p>
    <w:p>
      <w:r>
        <w:rPr>
          <w:rFonts w:ascii="Times New Roman" w:hAnsi="Times New Roman" w:eastAsia="微软雅黑"/>
        </w:rPr>
        <w:t>通过八维先验上的拉丁超立方采样生成 n = 2900 个样本。划分（seed = 2026）： - 训练集：2029 个样本（~70%） - 验证集：436 个样本（~15%） - 测试集：435 个样本（~15%）</w:t>
      </w:r>
    </w:p>
    <w:p>
      <w:r>
        <w:rPr>
          <w:rFonts w:ascii="Times New Roman" w:hAnsi="Times New Roman" w:eastAsia="微软雅黑"/>
        </w:rPr>
        <w:t>The fixed split is reused across all experiments for reproducibility.</w:t>
      </w:r>
    </w:p>
    <w:p>
      <w:r>
        <w:rPr>
          <w:rFonts w:ascii="Times New Roman" w:hAnsi="Times New Roman" w:eastAsia="微软雅黑"/>
        </w:rPr>
        <w:t>固定划分在所有实验中复用以确保可重复性。</w:t>
      </w:r>
    </w:p>
    <w:p>
      <w:pPr>
        <w:pStyle w:val="Heading1"/>
      </w:pPr>
      <w:r>
        <w:t>Supplementary References / 补充参考文献</w:t>
      </w:r>
    </w:p>
    <w:p>
      <w:r>
        <w:rPr>
          <w:rFonts w:ascii="Times New Roman" w:hAnsi="Times New Roman" w:eastAsia="微软雅黑"/>
        </w:rPr>
        <w:t>[10] Blundell C, et al. Weight uncertainty in neural networks. ICML 2015; pp. 1613-1622. [9]  Zhang T, Chen Y, Wang S, Liu X. Design-oriented multiphysics analysis and surrogate modelling of a heat-pipe-cooled reactor. Energy. 2025. (in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