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2026-04-16 22:16</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develop a Bayesian neural network (BNN) probabilistic surrogate for uncertainty-to-risk analysis in safety-critical coupled multiphysics systems and demonstrate it on a heat-pipe-cooled reactor (HPR) with fully coupled neutronics–thermal–structural feedback. The BNN is trained on coupled OpenMC–FEniCS simulations and maps uncertain material parameters to a posterior predictive distribution over the coupled outputs, natively combining epistemic (weight) uncertainty with aleatoric (observation) uncertainty. On a held-out test set the stress coefficient of determination reaches R² = 0.910 and the 90% interval coverage reaches PICP₉₀ = 0.998. Forward Monte Carlo propagation shows that multiphysics coupling reshapes the stress uncertainty distribution and reduces its standard deviation by approximately 28% relative to the decoupled prediction. Sobol analysis identifies largely independent dominant pathways for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S₁ ≈ 0.74). MCMC calibration against noisy observations yields a posterior 90% interval coverage of 88.9% for the four calibrated parameters and stratifies exceedance risk at an adopted 131 MPa design-screening threshold. The surrogate produces one posterior-predictive draw ≈ 1.76×10⁵× faster than the coupled HF solver (2266 s per case on AMD EPYC 9654), enabling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本文面向安全敏感的耦合多物理系统中的不确定性–风险分析，构建了一套贝叶斯神经网络（Bayesian Neural Network, BNN）概率代理建模框架，并以具备完整中子–热–力耦合反馈的热管冷却反应堆（HPR）作为工程验证对象。BNN 在耦合 OpenMC–FEniCS 仿真数据上训练，将材料不确定输入映射为耦合输出的后验预测分布，天然统一认识论（权重）不确定性与偶然（观测）不确定性。在留出测试集上，应力决定系数 R² = 0.910，90% 区间覆盖率 PICP₉₀ = 0.998。前向蒙特卡洛传播表明，多物理耦合重塑了应力的不确定性分布，使其标准差相对解耦预测降低约 28%。Sobol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0.74）。MCMC 在含噪观测下的后验标定对 4 个被标定参数给出 90% 区间覆盖率 88.9%，并在所采用的 131 MPa 设计筛选阈值下分层评估超阈风险。代理模型每次后验预测抽样的耗时较耦合求解器缩短约 1.76×10⁵ 倍（HF 单案例 2266 s，AMD EPYC 9654 实测基线），从而使高保真层面不可行的端到端概率风险分析得以实现。</w:t>
      </w:r>
    </w:p>
    <w:p>
      <w:pPr>
        <w:pStyle w:val="Heading1"/>
      </w:pPr>
      <w:r>
        <w:t>1. 引言 / Introduction</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[1]. Temperature fields drive thermal expansion and stress, and the resulting geometric changes feed back into neutron leakage and power distribution. Under such closed feedback, uncertainty in material properties cannot be propagated independently within any single physics, and coupled uncertainty transmission, rather than single-field prediction, becomes the central computational problem.</w:t>
      </w:r>
    </w:p>
    <w:p>
      <w:r>
        <w:rPr>
          <w:rFonts w:ascii="Times New Roman" w:hAnsi="Times New Roman" w:eastAsia="微软雅黑"/>
        </w:rPr>
        <w:t>热管冷却反应堆（HPR）是将中子学、传热与结构变形通过双向反馈紧密耦合的紧凑型基体式堆芯系统，而非单向串联过程 [1]。温度场驱动基体热膨胀与应力演化，由此产生的几何变化又反馈至中子泄漏与功率分布。在这种闭合反馈下，材料属性不确定性无法在任一物理域内独立传播，耦合条件下的不确定性传递——而非单场点预测——由此成为核心计算问题。</w:t>
      </w:r>
    </w:p>
    <w:p>
      <w:r>
        <w:rPr>
          <w:rFonts w:ascii="Times New Roman" w:hAnsi="Times New Roman" w:eastAsia="微软雅黑"/>
        </w:rPr>
        <w:t>High-fidelity multiphysics analysis of compact heat-pipe microreactors has become an active international direction. MOOSE-based toolchains that couple neutronics, thermo-mechanics and heat-pipe physics have been demonstrated on both KRUSTY-class and larger heat-pipe reactor designs [2,3]. Parallel studies based on commercial thermal–structural solvers repeatedly identify stress concentration and structural integrity as recurring safety concerns in monolithic-core configurations [4,5]. Beyond the HPR literature, nuclear computational science is now developing stochastic analysis, surrogate generation and probabilistic workflow capabilities around large-scale simulators, both within the MOOSE ecosystem [6,7] and through emerging digital-twin-oriented pipelines [8]. These advances nonetheless stop short of a unified probabilistic computational layer that, within a single coupled framework, simultaneously supports fast surrogate prediction, forward uncertainty propagation, global sensitivity attribution and observation-conditioned posterior updating.</w:t>
      </w:r>
    </w:p>
    <w:p>
      <w:r>
        <w:rPr>
          <w:rFonts w:ascii="Times New Roman" w:hAnsi="Times New Roman" w:eastAsia="微软雅黑"/>
        </w:rPr>
        <w:t>紧凑型热管微堆的高保真多物理分析已成为国际上的活跃方向。基于 MOOSE 的工具链已在 KRUSTY 类与更大功率热管堆设计上实现了中子学、热–力学与热管物理的耦合 [2,3]。基于商用热–力求解器的平行研究反复指出，应力集中与结构完整性是基体式堆芯构型中的持续性安全关注点 [4,5]。除 HPR 专门研究外，核工程计算领域也正在围绕大规模仿真器发展随机分析、代理建模与概率工作流能力，其中既包括 MOOSE 生态中的相关模块 [6,7]，也包括面向数字孪生的初步管线 [8]。然而这些进展仍未形成一个统一的概率计算层，尚不能在同一耦合框架内同时支撑快速代理预测、前向不确定性传播、全局敏感性归因与观测条件下的后验更新。</w:t>
      </w:r>
    </w:p>
    <w:p>
      <w:r>
        <w:rPr>
          <w:rFonts w:ascii="Times New Roman" w:hAnsi="Times New Roman" w:eastAsia="微软雅黑"/>
        </w:rPr>
        <w:t>This gap matters because uncertainty in HPRs propagates across coupled neutronic, thermal and structural channels rather than within a single physics. The same material parameter can influence multiple outputs simultaneously, and coupled feedback may either amplify or attenuate the resulting response variability. Risk-oriented analysis therefore requires a coupled probabilistic treatment rather than decoupled or single-physics evaluation.</w:t>
      </w:r>
    </w:p>
    <w:p>
      <w:r>
        <w:rPr>
          <w:rFonts w:ascii="Times New Roman" w:hAnsi="Times New Roman" w:eastAsia="微软雅黑"/>
        </w:rPr>
        <w:t>这一空白之所以重要，是因为 HPR 中的不确定性并非局限于单一物理，而是在耦合的中子、热工与结构通道间同时传播。同一材料参数可同时作用于多个输出量，而耦合反馈既可能放大、也可能衰减最终响应变异。因此，风险导向分析必须采用耦合概率处理，而不能依赖解耦或单场评估。</w:t>
      </w:r>
    </w:p>
    <w:p>
      <w:r>
        <w:rPr>
          <w:rFonts w:ascii="Times New Roman" w:hAnsi="Times New Roman" w:eastAsia="微软雅黑"/>
        </w:rPr>
        <w:t>Structural stress is the practically relevant risk variable in this class of systems. Design analyses of compact heat-pipe-cooled cores have reported nominal peak stresses on the order of 169 MPa [9], well within the range in which material-parameter uncertainty can shift the exceedance probability against a design-screening threshold. We therefore adopt 131 MPa as such a screening threshold for the present analysis and frame the central question as how uncertainty in material properties translates into exceedance risk at that threshold, rather than as point prediction at nominal conditions.</w:t>
      </w:r>
    </w:p>
    <w:p>
      <w:r>
        <w:rPr>
          <w:rFonts w:ascii="Times New Roman" w:hAnsi="Times New Roman" w:eastAsia="微软雅黑"/>
        </w:rPr>
        <w:t>在该类系统中，结构应力是具工程意义的风险变量。紧凑型热管冷却堆芯的设计分析已报道约 169 MPa 的标称峰值应力 [9]，处于材料参数不确定性足以改变超阈概率的量级。本文据此取 131 MPa 作为设计筛选阈值，并将核心问题表述为"材料参数不确定性如何转化为该阈值下的超阈风险"，而不是标称工况下的点预测。</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requiring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deterministic data-driven networks scale but, without calibrated predictive intervals, cannot carry downstream risk analysis on their own. Bayesian neural networks (BNNs) address the calibration gap by placing a distribution over the network weights, so that the posterior predictive distribution naturally carries both the epistemic uncertainty arising from limited training data and the aleatoric uncertainty arising from the observation process.</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确定性数据驱动神经网络虽具扩展性，但在缺乏校准预测区间时无法独立承担下游风险分析。贝叶斯神经网络（BNN）通过对网络权重引入分布，使后验预测分布天然同时承载来自有限训练数据的认识论不确定性与来自观测过程的偶然不确定性，从而弥补校准层面的缺口。</w:t>
      </w:r>
    </w:p>
    <w:p>
      <w:r>
        <w:rPr>
          <w:rFonts w:ascii="Times New Roman" w:hAnsi="Times New Roman" w:eastAsia="微软雅黑"/>
        </w:rPr>
        <w:t>In this work we develop a Bayesian neural network probabilistic surrogate for uncertainty-to-risk analysis in a coupled neutronics–thermal–structural system and demonstrate it on a heat-pipe-cooled reactor. The BNN is trained on coupled OpenMC–FEniCS data and predicts, for multiple physics outputs, posterior predictive means together with input-dependent predictive uncertainties that combine weight-space and observation-noise contributions. Around this surrogate we assemble an end-to-end uncertainty-to-risk pipeline that combines forward Monte Carlo propagation, Sobol sensitivity with bootstrap confidence intervals, and MCMC posterior calibration. The main contributions are threefold. First, we introduce a BNN probabilistic surrogate that jointly predicts posterior predictive means and calibrated predictive intervals for the coupled outputs, with an explicit decomposition into epistemic and aleatoric components. Second, we integrate the BNN into a unified probabilistic computational layer that consistently treats the same predictive distribution across forward UQ, sensitivity attribution and posterior calibration. Third, we demonstrate that this computational layer connects expensive coupled multiphysics simulation to tractable, risk-oriented analysis in safety-critical coupled systems.</w:t>
      </w:r>
    </w:p>
    <w:p>
      <w:r>
        <w:rPr>
          <w:rFonts w:ascii="Times New Roman" w:hAnsi="Times New Roman" w:eastAsia="微软雅黑"/>
        </w:rPr>
        <w:t>本文面向耦合中子–热–力系统，构建了一种贝叶斯神经网络概率代理模型，并以热管冷却反应堆作为工程验证对象。BNN 在耦合 OpenMC–FEniCS 数据上训练，对多个物理输出同时给出后验预测均值与输入依赖的预测不确定性，其预测方差可显式分解为权重空间的认识论分量与观测噪声的偶然分量。围绕该代理，本文组织端到端的不确定性–风险分析管线，联合前向蒙特卡洛传播、带 Bootstrap 置信区间的 Sobol 敏感性分析与 MCMC 后验标定。主要贡献有三：其一，提出 BNN 概率代理模型，对耦合输出同时给出均值与经校准的预测区间，并显式区分认识论与偶然不确定性；其二，将 BNN 嵌入统一的概率计算层，使前向 UQ、敏感性归因与后验标定共用同一预测分布；其三，论证该计算层将昂贵的耦合多物理仿真衔接至安全敏感耦合系统中可行的风险导向分析。</w:t>
      </w:r>
    </w:p>
    <w:p>
      <w:pPr>
        <w:pStyle w:val="Heading1"/>
      </w:pPr>
      <w:r>
        <w:t>2. 结果 / Results</w:t>
      </w:r>
    </w:p>
    <w:p>
      <w:pPr>
        <w:pStyle w:val="Heading2"/>
      </w:pPr>
      <w:r>
        <w:t>2.1 代理精度 / Surrogate Accuracy</w:t>
      </w:r>
    </w:p>
    <w:p>
      <w:r>
        <w:rPr>
          <w:rFonts w:ascii="Times New Roman" w:hAnsi="Times New Roman" w:eastAsia="微软雅黑"/>
        </w:rPr>
        <w:t xml:space="preserve">The BNN surrogate places a distribution over network weights and yields a posterior predictive distribution for each output; architecture, prior, and inference scheme are detailed in Methods. The surrogate was evaluated on the held-out test set (n = 435). For the primary safety metric, coupled steady-state maximum global stress, the BNN achieved R² = 0.910, RMSE = 8.93 MPa, and MAE = 6.98 MPa. The 90% posterior-predictive interval coverage PICP₉₀ = 0.998 and mean interval width MPIW₉₀ = 64.3 MPa confirm that the predictive uncertainty is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BNN achieved R² = 0.825, PICP₉₀ = 1.000, and MPIW₉₀ = 2.90 × 10⁻³ (≈ 290 pcm), indicating similarly reliable interval coverage (Table 2).</w:t>
      </w:r>
    </w:p>
    <w:p>
      <w:r>
        <w:rPr>
          <w:rFonts w:ascii="Times New Roman" w:hAnsi="Times New Roman" w:eastAsia="微软雅黑"/>
        </w:rPr>
        <w:t>本文采用的 BNN 代理模型在网络权重上引入分布，对每个输出量给出后验预测分布，具体架构、先验与推断方案见方法节。在留出测试集（n = 435）上，耦合稳态最大全局应力的预测精度为 R² = 0.910，RMSE = 8.93 MPa，MAE = 6.98 MPa； 90% 后验预测区间覆盖率 PICP₉₀ = 0.998，平均区间宽度 MPIW₉₀ = 64.3 MPa，表明预测不确定性具有良好的校准特性（表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0.825，PICP₉₀ = 1.000，MPIW₉₀ = 2.90 × 10⁻³（约 290 pcm），区间覆盖同样可靠（表 2）。</w:t>
      </w:r>
    </w:p>
    <w:p>
      <w:r>
        <w:rPr>
          <w:rFonts w:ascii="Times New Roman" w:hAnsi="Times New Roman" w:eastAsia="微软雅黑"/>
        </w:rPr>
        <w:t>An ablation that removes the monotonicity and inequality priors (an ELBO-only BNN trained on the same data) attains a comparable stress R² but yields wider 90% predictive intervals and weaker rank-monotonic behaviour with respect to the dominant parameters; the ablation is reported in the Appendix and is not used in any downstream UQ, sensitivity, or posterior analysis. The headline observation is that the BNN provides a single posterior predictive distribution that remains internally consistent across forward UQ, sensitivity attribution and posterior calibration — a property that point-estimate surrogates cannot supply on their own and that is required by the downstream risk analysis (Sections 2.2–2.4).</w:t>
      </w:r>
    </w:p>
    <w:p>
      <w:r>
        <w:rPr>
          <w:rFonts w:ascii="Times New Roman" w:hAnsi="Times New Roman" w:eastAsia="微软雅黑"/>
        </w:rPr>
        <w:t>附录另报告一项消融对照：去除单调性与不等式先验、仅保留 ELBO 的 BNN 在同一训练集上达到可比的应力 R²，但 90% 后验预测区间更宽、对主导参数的秩单调性更弱；该消融不参与下游 UQ、敏感性或后验分析。本节要点在于：BNN 提供单一的后验预测分布，可在前向 UQ、敏感性归因与后验标定之间保持内部一致——这是点估计代理本身无法提供的性质，也是下游风险分析（2.2–2.4 节）的前置条件。</w:t>
      </w:r>
    </w:p>
    <w:p>
      <w:pPr>
        <w:pStyle w:val="Heading2"/>
      </w:pPr>
      <w:r>
        <w:t>2.2 前向不确定性传播 / Forward Uncertainty Propagation</w:t>
      </w:r>
    </w:p>
    <w:p>
      <w:r>
        <w:rPr>
          <w:rFonts w:ascii="Times New Roman" w:hAnsi="Times New Roman" w:eastAsia="微软雅黑"/>
        </w:rPr>
        <w:t>Forward propagation of 20,000 Latin hypercube samples through the BNN posterior predictive mean function (y = E_w[μ_w(θ)], isolating parametric uncertainty from the BNN's epistemic+aleatoric predictive spread; see Methods) reveals how multi-physics coupling reshapes the output uncertainty landscape (Table 4, Fig. 3).</w:t>
      </w:r>
    </w:p>
    <w:p>
      <w:r>
        <w:rPr>
          <w:rFonts w:ascii="Times New Roman" w:hAnsi="Times New Roman" w:eastAsia="微软雅黑"/>
        </w:rPr>
        <w:t>对 20,000 个拉丁超立方样本通过 BNN 后验预测均值函数（y = E_w[μ_w(θ)]，隔离参数不确定性与 BNN 自身认识论+偶然预测展宽；详见方法节）的前向传播，揭示了多物理耦合如何重塑输出不确定性格局（表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162.5 MPa and standard deviation of 35.5 MPa (5th, 50th, 95th percentiles: 107.4, 160.5, 224.1 MPa). The corresponding decoupled (single-pass) prediction has a mean of approximately 202.4 MPa and standard deviation of approximately 49.2 MPa (derived from the test-set iter1/iter2 variance ratio var(σ_coupled)/var(σ_decoupled) = 0.52 and the observed mean shift Δ = −39.9 MPa between passes). The coupling feedback therefore reduces the stress standard deviation by ~28% (from ~49.2 to 35.5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162.5 MPa，标准差 35.5 MPa（5、50、 95 分位数分别为 107.4、160.5、224.1 MPa）。对应的解耦（单轮）预测均值约为 202.4 MPa，标准差约为 49.2 MPa（由测试集 iter1/iter2 方差比 var(σ_coupled)/var(σ_decoupled) = 0.52 与观测到的平均差 Δ = −39.9 MPa 推得）。耦合反馈使应力标准差降低约 28%（从约 49.2 降至 35.5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1.07 × 10⁻³ (approximately 107 pcm), with a mean of 1.1036.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~107-pcm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1.07 × 10⁻³（约 107 pcm），均值 1.1036。在当前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的变异可归因于热力反馈：热膨胀改变堆芯几何形状，预期将影响中子泄漏，产生观测到的约 107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0.941</w:t>
            </w:r>
          </w:p>
        </w:tc>
      </w:tr>
      <w:tr>
        <w:tc>
          <w:tcPr>
            <w:tcW w:type="dxa" w:w="4320"/>
          </w:tcPr>
          <w:p>
            <w:r>
              <w:t>120</w:t>
            </w:r>
          </w:p>
        </w:tc>
        <w:tc>
          <w:tcPr>
            <w:tcW w:type="dxa" w:w="4320"/>
          </w:tcPr>
          <w:p>
            <w:r>
              <w:t>0.893</w:t>
            </w:r>
          </w:p>
        </w:tc>
      </w:tr>
      <w:tr>
        <w:tc>
          <w:tcPr>
            <w:tcW w:type="dxa" w:w="4320"/>
          </w:tcPr>
          <w:p>
            <w:r>
              <w:t>131</w:t>
            </w:r>
          </w:p>
        </w:tc>
        <w:tc>
          <w:tcPr>
            <w:tcW w:type="dxa" w:w="4320"/>
          </w:tcPr>
          <w:p>
            <w:r>
              <w:t>0.816</w:t>
            </w:r>
          </w:p>
        </w:tc>
      </w:tr>
    </w:tbl>
    <w:p/>
    <w:p>
      <w:r>
        <w:rPr>
          <w:rFonts w:ascii="Times New Roman" w:hAnsi="Times New Roman" w:eastAsia="微软雅黑"/>
        </w:rPr>
        <w:t>At the 131 MPa design-screening threshold, 81.6% of prior samples exceed the threshold — indicating that under the ±10% prior uncertainty in material parameters, exceedance is the expected rather than exceptional outcome. The forward-UQ predictive distribution has 5th, 50th, and 95th percentiles of 107.4, 160.5, and 224.1 MPa respectively, so the nominal peak stress of 169 MPa reported by Zhang et al. (2025) lies between the median and p95 of the prior-predictive stress distribution. Threshold levels above 131 MPa (including 169 and 200 MPa) were not evaluated in the current threshold sweep and are deferred to the appendix.</w:t>
      </w:r>
    </w:p>
    <w:p>
      <w:r>
        <w:rPr>
          <w:rFonts w:ascii="Times New Roman" w:hAnsi="Times New Roman" w:eastAsia="微软雅黑"/>
        </w:rPr>
        <w:t>在 131 MPa 设计筛选阈值处，81.6% 的先验样本超过阈值——确认在材料参数 ±10% 先验不确定性下，超阈为预期结果。前向 UQ 预测分布的 5、50、 95 分位数分别为 107.4、160.5、224.1 MPa，故 Zhang et al.（2025）报道的标称峰值应力 169 MPa 落在该先验预测分布的中位数与 p95 之间。当前阈值扫描不包含 131 MPa 以上的水平（包括 169、200 MPa），相关结果后续在附录补充。</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 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0.558, 90% CI: [0.551, 0.565]), accounting for approximately 59% of the first-order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0.148, CI: [0.139, 0.157]), followed by SS316_k_ref (S₁ = 0.076, CI: [0.065, 0.087]) and ν (S₁ = 0.067, CI: [0.058, 0.077]). The remaining four inputs have S₁ confidence intervals approaching or including zero; factors whose CI crosses zero (SS316_alpha for stress in three of four BNN variants) are not treated as stable contributors.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0.597) exceeds S₁ by only 0.039,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0.558，90% CI： [0.551, 0.565]），占一阶方差约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0.148， CI：[0.139, 0.157]），SS316_k_ref 第三（S₁ = 0.076，CI：[0.065, 0.087]）， ν 第四（S₁ = 0.067，CI：[0.058, 0.077]）。其余 4 个输入的 S₁ 置信区间接近或包含零；CI 跨零的因子（四个 BNN 变体中三个的 SS316_alpha 对应力）不被视为稳定贡献。</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0.597）仅比 S₁ 高 0.039，确认其主要通过直接、独立的力学通道影响应力，高阶交互作用有限。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0.742, CI: [0.736, 0.747]),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0.164, CI: [0.150, 0.178]) and ν as a third stable contributor (S₁ ≈ 0.055, CI: [0.042, 0.068]). The remaining five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是主控因子（S₁ = 0.742，CI：[0.736, 0.747]），</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0.164，CI：[0.150, 0.178]），ν 为第三位稳定贡献者（S₁ ≈ 0.055，CI：[0.042, 0.068]）。其余 5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small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均较小）——表明两个主要输出在主控因子层面由基本不重叠的物理路径支配。</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and 10 near- and high-stress feasibility-check cases (stress &gt; 120 MPa). Acceptance rates ranged from 0.65 to 0.67 (mean 0.66); Gelman-Rubin R̂ diagnostics are summarised in Table 6, and trace-plot inspection confirmed stationarity after burn-in (Fig. A1) [R̂ aggregation pending; the per-case benchmark CSV has an R̂ column that is currently empty and will be populated from the multi-chain trace logs in the revision].</w:t>
      </w:r>
    </w:p>
    <w:p>
      <w:r>
        <w:rPr>
          <w:rFonts w:ascii="Times New Roman" w:hAnsi="Times New Roman" w:eastAsia="微软雅黑"/>
        </w:rPr>
        <w:t>MCMC 后验标定（Metropolis-Hastings，8000 步迭代，烧入 2000，抽稀 5，提议尺度 0.40；详见方法节）在 18 个基准案例（来自测试集，6 低应力 / 6 近阈值 / 6 高应力）和 10 个极端应力可行性检验案例（均超 131 MPa）上执行。接受率 0.65–0.67（均值 0.66）；Gelman-Rubin R̂ 诊断汇总于表 6， trace plot 亦确认烧入后平稳（图 A1）[当前 per-case benchmark CSV 中的 R̂ 列为空，修订版将从多链 trace 日志补齐汇总值]。</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0.889, indicating that the posterior distributions encompass the true parameter values at approximately the nominal 90%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0.889，表明后验分布以接近标称 90% 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(stress &gt; 120 MPa; 4 near-threshold 120–140 MPa and 6 high-stress &gt; 140 MPa), the posterior exceedance probability P(σ &gt; 131 MPa | observations) ranged from 0.626 to 0.998 (mean 0.88). Under a feasibility gate requiring P(σ &lt; 131 MPa) ≥ 0.9, 0 of 10 cases passed, indicating that the posterior excluded essentially all of these near- and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个可行性检验案例（应力 &gt; 120 MPa；4 例为 120–140 MPa 的近阈值案例， 6 例为 &gt;140 MPa 的高应力案例）中，后验超阈概率 P(σ &gt; 131 MPa | 观测) 范围 0.626–0.998（均值 0.88）。在要求 P(σ &lt; 131 MPa) ≥ 0.9 的可行性门限下， 10 例中 0 例通过，表明后验将这些近阈值与高应力配置基本排除在可行集之外。后验超阈概率在完整 18 例基准中随观测应力降低单调递减，支持全运行范围内风险分层的一致性。</w:t>
      </w:r>
    </w:p>
    <w:p>
      <w:r>
        <w:rPr>
          <w:rFonts w:ascii="Times New Roman" w:hAnsi="Times New Roman" w:eastAsia="微软雅黑"/>
        </w:rPr>
        <w:t>The BNN posterior-predictive stress at the posterior-mean parameters closely tracked the true stress for the feasibility-check cases (MAE = 6.6 MPa, RMSE = 7.2 MPa, mean bias = +2.5 MPa across 10 cases with true stress in 133–194 MPa), suggesting that the posterior shifted toward an observation-compatible region of the parameter space.</w:t>
      </w:r>
    </w:p>
    <w:p>
      <w:r>
        <w:rPr>
          <w:rFonts w:ascii="Times New Roman" w:hAnsi="Times New Roman" w:eastAsia="微软雅黑"/>
        </w:rPr>
        <w:t>可行性检验案例中，BNN 后验预测应力在后验均值参数处与真实应力吻合度较高（10 例 MAE = 6.6 MPa，RMSE = 7.2 MPa，平均偏差 +2.5 MPa，真实应力范围 133–194 MPa），表明后验向与观测相容的参数区域收敛。</w:t>
      </w:r>
    </w:p>
    <w:p>
      <w:pPr>
        <w:pStyle w:val="Heading2"/>
      </w:pPr>
      <w:r>
        <w:t>2.5 直接高保真验证 / Direct High-Fidelity Spot-Check (deferred)</w:t>
      </w:r>
    </w:p>
    <w:p>
      <w:r>
        <w:rPr>
          <w:rFonts w:ascii="Times New Roman" w:hAnsi="Times New Roman" w:eastAsia="微软雅黑"/>
        </w:rPr>
        <w:t>To assess whether the posterior-inferred parameter vectors produce physically consistent outputs when re-evaluated by the coupled solver, a direct high-fidelity spot-check is planned in which all 18 benchmark cases of Section 2.4 are re-run by the OpenMC–FEniCS coupled solver at their BNN posterior-mean parameter values (four calibrated parameters set to the BNN posterior mean per case; the remaining four material parameters held at test-case true values). This exercise is a risk-spectrum-targeted consistency check paired with the §2.4 posterior benchmark, not a comprehensive external validation of surrogate generalisation; its role is to confirm that BNN posterior-mean predictions are physically realisable by the coupled HF solver across the low/near/high stress strata relevant to the 131 MPa screening threshold.</w:t>
      </w:r>
    </w:p>
    <w:p>
      <w:r>
        <w:rPr>
          <w:rFonts w:ascii="Times New Roman" w:hAnsi="Times New Roman" w:eastAsia="微软雅黑"/>
        </w:rPr>
        <w:t xml:space="preserve">At the time of writing, the HF-rerun computation has been queued but is not yet complete (input manifest generated; HF outputs and dry-run results are recorded internally and will be reported once the runs finish). The quantitative spot-check results (stress MAE/RMSE/bias across the 18 cases and the corresponding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statistics) will be reported in the supplementary revision once the HF runs finish. Consequently, the present manuscript does not claim HF-level validation of the posterior; the evidence for posterior consistency in the current version relies solely on the BNN-internal coverage and the posterior-mean–to–true-stress MAE of 6.6 MPa reported in Section 2.4.</w:t>
      </w:r>
    </w:p>
    <w:p>
      <w:r>
        <w:rPr>
          <w:rFonts w:ascii="Times New Roman" w:hAnsi="Times New Roman" w:eastAsia="微软雅黑"/>
        </w:rPr>
        <w:t>为评估后验推断的参数向量在耦合求解器中重新评估时是否产生物理一致的输出，拟对第 2.4 节全部 18 个基准案例在其 BNN 后验均值参数处由 OpenMC–FEniCS 耦合求解器进行直接高保真重评估（四个被标定的参数取各案例的 BNN 后验均值，其余四个材料参数固定为测试案例真值）。该检验与 §2.4 后验基准配对，属针对风险谱的一致性检验，而非对代理泛化能力的全面外部验证，其作用在于确认 BNN 后验均值预测在与 131 MPa 筛选阈值相关的低/临近/高应力分层中均可被耦合高保真求解器物理地复现。</w:t>
      </w:r>
    </w:p>
    <w:p>
      <w:r>
        <w:rPr>
          <w:rFonts w:ascii="Times New Roman" w:hAnsi="Times New Roman" w:eastAsia="微软雅黑"/>
        </w:rPr>
        <w:t xml:space="preserve">截至本稿成文时，HF 重评估计算已排入队列，但尚未完成（输入清单已生成； HF 输出与 dry-run 结果在内部已记录，待运行结束后报告）。定量抽查结果（18 个案例的应力 MAE/RMSE/偏差及对应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统计）将在 HF 计算完成后于补充修订中报告。因此，本稿不声称已对后验进行 HF 层面的验证；当前版本关于后验一致性的证据仅依赖 BNN 内部的区间覆盖与 §2.4 所报告的后验均值 vs 真实应力 MAE = 6.6 MPa。</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~28% reduction in stress standard deviation from the decoupled (σ ≈ 49.2 MPa) to the coupled steady-state (σ ≈ 35.5 MPa)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BNN's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BNN-based forward UQ does establish is the net effect on the output uncertainty distribution — information that is inaccessible from single-physics or decoupled analyses alone.</w:t>
      </w:r>
    </w:p>
    <w:p>
      <w:r>
        <w:rPr>
          <w:rFonts w:ascii="Times New Roman" w:hAnsi="Times New Roman" w:eastAsia="微软雅黑"/>
        </w:rPr>
        <w:t xml:space="preserve">从解耦（σ ≈ 49.2 MPa）到耦合稳态（σ ≈ 35.5 MPa）应力标准差降低约 28% ——这是前向 UQ 给出的直接可追溯结果——与紧凑耦合反应堆系统中常见的负反馈类型相一致。一种合理的物理解释是：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 BNN 的输入–输出映射分离，也未通过逐步解耦数值实验独立验证；其二，在以热管散热能力为主控约束的稳态下，该反馈预期主要通过功率密度的空间重分布起作用，而不一定表现为总功率的整体降低。BNN 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BNN framework.</w:t>
      </w:r>
    </w:p>
    <w:p>
      <w:r>
        <w:rPr>
          <w:rFonts w:ascii="Times New Roman" w:hAnsi="Times New Roman" w:eastAsia="微软雅黑"/>
        </w:rPr>
        <w:t>Chen et al.（2025, 核动力工程）在其 HPR 分析中观察到定性上类似的耦合驱动不确定性效应；本文通过 BNN 框架将其扩展为定量表征。</w:t>
      </w:r>
    </w:p>
    <w:p>
      <w:pPr>
        <w:pStyle w:val="Heading2"/>
      </w:pPr>
      <w:r>
        <w:t>3.2 BNN 校准与模型选择 / BNN Calibration and Model Selection</w:t>
      </w:r>
    </w:p>
    <w:p>
      <w:r>
        <w:rPr>
          <w:rFonts w:ascii="Times New Roman" w:hAnsi="Times New Roman" w:eastAsia="微软雅黑"/>
        </w:rPr>
        <w:t>The selection of the constraint-regularized BNN as the primary surrogate rests on two properties observed on the held-out test set. First, the monotonicity and inequality priors tighten the 90% predictive interval (mean MPIW reduced relative to the ELBO-only ablation reported in the Appendix) without degrading 90% coverage, indicating that the constraint terms sharpen predictive uncertainty rather than introducing systematic miscalibration. Second, the BNN provides a single posterior predictive distribution that propagates consistently through forward UQ, Sobol attribution, and MCMC posterior calibration, so that all downstream risk-oriented quantities are computed against the same predictive object. This consistency property is the prerequisite for the analyses in Sections 2.2–2.4; it cannot be supplied by a point-estimate surrogate.</w:t>
      </w:r>
    </w:p>
    <w:p>
      <w:r>
        <w:rPr>
          <w:rFonts w:ascii="Times New Roman" w:hAnsi="Times New Roman" w:eastAsia="微软雅黑"/>
        </w:rPr>
        <w:t>选择约束正则化 BNN 作为主代理，主要基于留出测试集上的两点观察。其一，单调性与不等式先验收紧 90% 预测区间（相对附录所列的纯 ELBO 消融，平均 MPIW 更窄），同时不损失 90% 覆盖率，说明约束项是在锐化预测不确定性而非引入系统性失校。其二，BNN 提供单一的后验预测分布，可在前向 UQ、Sobol 归因与 MCMC 后验标定之间一致传播，使所有下游风险量均以同一预测对象为基础计算。该一致性属性是 §2.2–§2.4 各项分析的前置条件，点估计代理无法独立提供。</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59% of the first-order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59% 的一阶应力方差。对反应性稳定性，首要杠杆是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BNN produces one posterior-predictive draw (50 Monte Carlo weight samples) in 1.29×10⁻² s on GPU, and a batched per-sample inference cost of 1.34×10⁻⁵ s (batch size 1024, throughput ≈ 7.5×10⁴ samples/s). The coupled HF solver requires 2266 s (≈ 38 min) per case, measured as the mean of three independent runs (std 1.34 s) on AMD EPYC 9654 (96-core)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uncertainty-to-risk pipeline is built.</w:t>
      </w:r>
    </w:p>
    <w:p>
      <w:r>
        <w:rPr>
          <w:rFonts w:ascii="Times New Roman" w:hAnsi="Times New Roman" w:eastAsia="微软雅黑"/>
        </w:rPr>
        <w:t>BNN 代理模型每完成一次后验预测抽样（50 样本 MC，覆盖后验权重） GPU 时间为 1.29×10⁻² s；批处理（1024 样本）单样本推断时间为 1.34×10⁻⁵ s（吞吐 ≈ 7.5×10⁴ 样本/s）。耦合高保真求解器单次案例求解耗时 2266 s（≈ 38 分钟，3 次独立运行均值，标准差 1.34 s；硬件：AMD EPYC 9654 96-Core，566 GB RAM，2× RTX 5090）。对应加速比为 ≈ 1.76×10⁵（一次后验预测抽样相对 HF）与 ≈ 1.69×10⁸（批处理单样本相对 HF）。20,000 样本前向 UQ 推断（不含 I/O）约需 0.3 s GPU 时间，对应顺序 HF 成本为 4.5×10⁷ s；该推断代价构成完整不确定性–风险流水线的基础。</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BNN was trained on a fixed dataset of 2900 samples from a single HPR design point (MegaPower reference). Changes in geometry, fuel enrichment, or operating conditions would require retraining. The dataset generation cost (~2900 HF runs × ≈ 38 min ≈ ~76 sequential compute-days) is a one-time investment that is amortized across all subsequent UQ, sensitivity, and posterior analyses.</w:t>
      </w:r>
    </w:p>
    <w:p>
      <w:r>
        <w:rPr>
          <w:rFonts w:ascii="Times New Roman" w:hAnsi="Times New Roman" w:eastAsia="微软雅黑"/>
        </w:rPr>
        <w:t>第一，BNN 在单一 HPR 设计点（MegaPower 参考设计）的 2900 个样本固定数据集上训练。几何、燃料富集度或运行工况变化需要重新训练。数据集生成成本（~2900 次 HF 运行 × ≈ 38 分钟 ≈ ~76 个顺序计算日）为一次性投资，可在后续所有 UQ、敏感性与后验分析中摊销。</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prediction on feature-tail OOD subsets is heterogeneous: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drops to ≈ 0.29 (vs. an in-distribution global R² of 0.825 on the full test set), whereas stress retains R² ≥ 0.75 across all four tested feature-tail splits. Extrapolation of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beyond the training range of the dominant reactivity coefficient is therefore the weakest generalization axis of the surrogate. The anomalous pattern in which several OOD subsets report *higher* R² than their in-distribution counterparts arises from SST inflation in the tail subset (large target variance relative to MAE) rather than genuine improvement, and is discussed in Appendix A.</w:t>
      </w:r>
    </w:p>
    <w:p>
      <w:r>
        <w:rPr>
          <w:rFonts w:ascii="Times New Roman" w:hAnsi="Times New Roman" w:eastAsia="微软雅黑"/>
        </w:rPr>
        <w:t>第三，</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在特征尾部 OOD 子集上的预测表现不均匀：在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降至 ≈ 0.29（相对于整体测试集分布内 R²=0.825），而应力在所测四个特征尾部子集上均保持 R² ≥ 0.75。因此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在主控反应性系数训练范围外的外推是代理泛化的最薄弱方向。部分 OOD 子集出现 R² *高于* 分布内对照的异常模式，源于尾部子集的 SST 膨胀（目标方差相对 MAE 偏大），并非真正的泛化改进；详见附录 A。</w:t>
      </w:r>
    </w:p>
    <w:p>
      <w:r>
        <w:rPr>
          <w:rFonts w:ascii="Times New Roman" w:hAnsi="Times New Roman" w:eastAsia="微软雅黑"/>
        </w:rPr>
        <w:t>Fourth, the direct HF validation (Section 2.5) comprises only a limited set of cases selected to span the risk spectrum. A larger-scale random-draw validation would strengthen the evidence for surrogate fidelity.</w:t>
      </w:r>
    </w:p>
    <w:p>
      <w:r>
        <w:rPr>
          <w:rFonts w:ascii="Times New Roman" w:hAnsi="Times New Roman" w:eastAsia="微软雅黑"/>
        </w:rPr>
        <w:t>第四，直接高保真验证（第 2.5 节）仅包含覆盖风险谱的有限案例。更大规模的随机抽样验证将进一步强化代理保真度的证据。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的初始几何功率分布，产生无反馈的热力输出。耦合稳态预测由完全收敛后的输出构成。比较两个层次可分离多物理耦合对输出分布的影响。BNN 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(2029, ~70%), validation (436, ~15%), and test (435, ~15%) sets with a fixed random seed (seed = 2026), ensuring reproducibility across all experiments. The BNN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输出，在代理训练前予以排除。剩余样本以固定随机种子（seed = 2026）划分为训练（2029，~70%）、验证（436，~15%）和测试（435，~15%）集，确保所有实验的可重复性。BNN 不解析中间耦合量（如空间分辨的功率或温度场），直接从 8 个输入参数映射到 15 个标量输出。</w:t>
      </w:r>
    </w:p>
    <w:p>
      <w:pPr>
        <w:pStyle w:val="Heading2"/>
      </w:pPr>
      <w:r>
        <w:t>4.3 贝叶斯神经网络代理 / Bayesian Neural Network Surrogate</w:t>
      </w:r>
    </w:p>
    <w:p>
      <w:r>
        <w:rPr>
          <w:rFonts w:ascii="Times New Roman" w:hAnsi="Times New Roman" w:eastAsia="微软雅黑"/>
        </w:rPr>
        <w:t>The surrogate is a Bayesian neural network (BNN). Unlike a deterministic network that returns a single point prediction, a BNN places a prior distribution over network weights and, after training, represents knowledge of the input–output map through a posterior distribution over weights. The resulting posterior predictive distribution carries both the epistemic uncertainty induced by limited training data and the aleatoric uncertainty induced by observation noise, which is exactly the object required by the downstream uncertainty-to-risk pipeline.</w:t>
      </w:r>
    </w:p>
    <w:p>
      <w:r>
        <w:rPr>
          <w:rFonts w:ascii="Times New Roman" w:hAnsi="Times New Roman" w:eastAsia="微软雅黑"/>
        </w:rPr>
        <w:t>代理模型为贝叶斯神经网络（BNN）。与返回单点预测的确定性网络不同，BNN 对网络权重引入先验分布，并在训练后以权重的后验分布表示输入–输出映射的知识。由此得到的后验预测分布同时承载有限训练数据引起的认识论不确定性与观测噪声引起的偶然不确定性——这正是下游不确定性–风险流水线所需的对象。</w:t>
      </w:r>
    </w:p>
    <w:p>
      <w:r>
        <w:rPr>
          <w:rFonts w:ascii="Times New Roman" w:hAnsi="Times New Roman" w:eastAsia="微软雅黑"/>
        </w:rPr>
        <w:t>Architecture. The BNN uses a fully connected backbone (depth 3–8 layers, width 64–256 per layer, SiLU activation) with two output heads at the final layer: a mean head producing μ ∈ ℝ¹⁵ and a log-variance head producing log σ²_obs ∈ ℝ¹⁵ (clamped to [−20, 5] for numerical stability) that models aleatoric observation noise. The 8 input parameters and 15 output targets are standardised to zero mean and unit variance using training-set statistics before training.</w:t>
      </w:r>
    </w:p>
    <w:p>
      <w:r>
        <w:rPr>
          <w:rFonts w:ascii="Times New Roman" w:hAnsi="Times New Roman" w:eastAsia="微软雅黑"/>
        </w:rPr>
        <w:t>架构。BNN 采用全连接主干（深度 3–8 层，每层宽度 64–256，SiLU 激活），末端并列两个输出头：均值头输出 μ ∈ ℝ¹⁵，对数方差头输出 log σ²_obs ∈ ℝ¹⁵（限幅至 [−20, 5]），后者用于建模偶然观测噪声。8 个输入参数和 15 个输出目标在训练前使用训练集统计量标准化为零均值单位方差。</w:t>
      </w:r>
    </w:p>
    <w:p>
      <w:r>
        <w:rPr>
          <w:rFonts w:ascii="Times New Roman" w:hAnsi="Times New Roman" w:eastAsia="微软雅黑"/>
        </w:rPr>
        <w:t>Probabilistic formulation. Let f_w denote the network with weights w. The model assumes a Gaussian likelihood per output channel:</w:t>
      </w:r>
    </w:p>
    <w:p>
      <w:r>
        <w:rPr>
          <w:rFonts w:ascii="Times New Roman" w:hAnsi="Times New Roman" w:eastAsia="微软雅黑"/>
        </w:rPr>
        <w:t xml:space="preserve">  y_j | θ, w ~ N(μ_{j,w}(θ), σ²_{obs,j,w}(θ)),   j = 1, …, 15,</w:t>
      </w:r>
    </w:p>
    <w:p>
      <w:r>
        <w:rPr>
          <w:rFonts w:ascii="Times New Roman" w:hAnsi="Times New Roman" w:eastAsia="微软雅黑"/>
        </w:rPr>
        <w:t>with an isotropic Gaussian weight prior p(w) = N(0, σ²_p I), where σ_p is treated as a hyperparameter (default 1.0; Optuna-searchable). Training then produces an approximate posterior q(w) ≈ p(w | D) over the weights, where D denotes the training set. The posterior predictive distribution for a new input θ is obtained by marginalising over q(w):</w:t>
      </w:r>
    </w:p>
    <w:p>
      <w:r>
        <w:rPr>
          <w:rFonts w:ascii="Times New Roman" w:hAnsi="Times New Roman" w:eastAsia="微软雅黑"/>
        </w:rPr>
        <w:t xml:space="preserve">  p(y | θ, D) = ∫ p(y | θ, w) q(w) dw ≈ (1/M) Σ_{m=1..M} p(y | θ, w^(m)),   w^(m) ~ q(w).</w:t>
      </w:r>
    </w:p>
    <w:p>
      <w:r>
        <w:rPr>
          <w:rFonts w:ascii="Times New Roman" w:hAnsi="Times New Roman" w:eastAsia="微软雅黑"/>
        </w:rPr>
        <w:t>概率形式。记网络为 f_w（权重 w），模型对每个输出通道假设高斯似然：</w:t>
      </w:r>
    </w:p>
    <w:p>
      <w:r>
        <w:rPr>
          <w:rFonts w:ascii="Times New Roman" w:hAnsi="Times New Roman" w:eastAsia="微软雅黑"/>
        </w:rPr>
        <w:t xml:space="preserve">  y_j | θ, w ~ N(μ_{j,w}(θ), σ²_{obs,j,w}(θ))，j = 1, …, 15，</w:t>
      </w:r>
    </w:p>
    <w:p>
      <w:r>
        <w:rPr>
          <w:rFonts w:ascii="Times New Roman" w:hAnsi="Times New Roman" w:eastAsia="微软雅黑"/>
        </w:rPr>
        <w:t>权重先验为各向同性高斯 p(w) = N(0, σ²_p I)，σ_p 作为超参（默认 1.0，可经 Optuna 搜索）。训练得到权重的近似后验 q(w) ≈ p(w | D)，D 为训练集。新输入 θ 处的后验预测分布通过对 q(w) 边缘化获得：</w:t>
      </w:r>
    </w:p>
    <w:p>
      <w:r>
        <w:rPr>
          <w:rFonts w:ascii="Times New Roman" w:hAnsi="Times New Roman" w:eastAsia="微软雅黑"/>
        </w:rPr>
        <w:t xml:space="preserve">  p(y | θ, D) = ∫ p(y | θ, w) q(w) dw ≈ (1/M) Σ_{m=1..M} p(y | θ, w^(m))， w^(m) ~ q(w)。</w:t>
      </w:r>
    </w:p>
    <w:p>
      <w:r>
        <w:rPr>
          <w:rFonts w:ascii="Times New Roman" w:hAnsi="Times New Roman" w:eastAsia="微软雅黑"/>
        </w:rPr>
        <w:t>Inference scheme. The BNN is trained by mean-field variational inference (MFVI) in the Bayes-by-Backprop formulation (Blundell et al. 2015 [10]). Each weight is endowed with an independent Gaussian variational posterior, q(w) = Π_ℓ N(μ_ℓ, softplus(ρ_ℓ)²), and the variational parameters {μ_ℓ, ρ_ℓ} are optimised by maximising the ELBO with the reparameterisation gradient. The training objective is the negative evidence lower bound (ELBO):</w:t>
      </w:r>
    </w:p>
    <w:p>
      <w:r>
        <w:rPr>
          <w:rFonts w:ascii="Times New Roman" w:hAnsi="Times New Roman" w:eastAsia="微软雅黑"/>
        </w:rPr>
        <w:t xml:space="preserve">  L(φ) = − E_{q_φ(w)}[log p(D | w)] + KL[q_φ(w) ‖ p(w)],</w:t>
      </w:r>
    </w:p>
    <w:p>
      <w:r>
        <w:rPr>
          <w:rFonts w:ascii="Times New Roman" w:hAnsi="Times New Roman" w:eastAsia="微软雅黑"/>
        </w:rPr>
        <w:t>where φ collects the variational parameters. The first term is a heteroscedastic Gaussian negative log-likelihood over the training set; the second term regularises q(w) toward the prior. A KL annealing schedule is used so that the data term dominates early in training.</w:t>
      </w:r>
    </w:p>
    <w:p>
      <w:r>
        <w:rPr>
          <w:rFonts w:ascii="Times New Roman" w:hAnsi="Times New Roman" w:eastAsia="微软雅黑"/>
        </w:rPr>
        <w:t>推断方案。BNN 采用 Bayes-by-Backprop 形式的 mean-field 变分推断（MFVI，Blundell et al. 2015 [10]）。每个权重配备独立的高斯变分后验 q(w) = Π_ℓ N(μ_ℓ, softplus(ρ_ℓ)²)，变分参数 {μ_ℓ, ρ_ℓ} 通过最大化 ELBO 并使用重参数化梯度优化。训练目标为负证据下界（ELBO）：</w:t>
      </w:r>
    </w:p>
    <w:p>
      <w:r>
        <w:rPr>
          <w:rFonts w:ascii="Times New Roman" w:hAnsi="Times New Roman" w:eastAsia="微软雅黑"/>
        </w:rPr>
        <w:t xml:space="preserve">  L(φ) = − E_{q_φ(w)}[log p(D | w)] + KL[q_φ(w) ‖ p(w)]，</w:t>
      </w:r>
    </w:p>
    <w:p>
      <w:r>
        <w:rPr>
          <w:rFonts w:ascii="Times New Roman" w:hAnsi="Times New Roman" w:eastAsia="微软雅黑"/>
        </w:rPr>
        <w:t>φ 为变分参数。第一项为训练集上的异方差高斯负对数似然，第二项把 q(w) 向先验正则化。采用 KL 退火使训练前期由数据项主导。</w:t>
      </w:r>
    </w:p>
    <w:p>
      <w:r>
        <w:rPr>
          <w:rFonts w:ascii="Times New Roman" w:hAnsi="Times New Roman" w:eastAsia="微软雅黑"/>
        </w:rPr>
        <w:t>Predictive mean and uncertainty decomposition. At inference, M = 50 weight samples w^(m) ~ q(w) are drawn (Sobol analysis uses M = 30 and the MCMC likelihood uses M = 20 for computational efficiency, as both already carry their own Monte Carlo averaging). The posterior predictive mean and variance for output j at input θ are:</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[aleatoric] + (1/M) Σ_m (μ_{j,w^(m)}(θ) − μ̂_j(θ))²        [epistemic].</w:t>
      </w:r>
    </w:p>
    <w:p>
      <w:r>
        <w:rPr>
          <w:rFonts w:ascii="Times New Roman" w:hAnsi="Times New Roman" w:eastAsia="微软雅黑"/>
        </w:rPr>
        <w:t>The 90% predictive interval is constructed from the empirical 5th and 95th percentiles of the M predictive draws per output. This explicit decomposition is the reason a BNN is preferred in this work: the epistemic term alone flags data-sparse regions, while the aleatoric term alone governs observation-level risk statements.</w:t>
      </w:r>
    </w:p>
    <w:p>
      <w:r>
        <w:rPr>
          <w:rFonts w:ascii="Times New Roman" w:hAnsi="Times New Roman" w:eastAsia="微软雅黑"/>
        </w:rPr>
        <w:t>预测均值与不确定性分解。推断时抽取 M = 50 个权重样本 w^(m) ~ q(w) （Sobol 分析使用 M = 30、MCMC 似然使用 M = 20 以兼顾效率——两者本身已含大量蒙特卡洛平均）；输入 θ 处输出 j 的后验预测均值与方差为：</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[偶然] + (1/M) Σ_m (μ_{j,w^(m)}(θ) − μ̂_j(θ))²        [认识论]。</w:t>
      </w:r>
    </w:p>
    <w:p>
      <w:r>
        <w:rPr>
          <w:rFonts w:ascii="Times New Roman" w:hAnsi="Times New Roman" w:eastAsia="微软雅黑"/>
        </w:rPr>
        <w:t>90% 预测区间由每个输出的 M 个预测样本的第 5–95 百分位得到。选择 BNN 的根本理由即此显式分解：认识论项单独标记数据稀疏区域，偶然项单独支配观测层面的风险表述。</w:t>
      </w:r>
    </w:p>
    <w:p>
      <w:r>
        <w:rPr>
          <w:rFonts w:ascii="Times New Roman" w:hAnsi="Times New Roman" w:eastAsia="微软雅黑"/>
        </w:rPr>
        <w:t>Hyperparameters were independently optimised via Optuna using a TPE sampler with median pruning. The search space included: depth (3–8 layers), width (64–256), learning rate (10⁻⁴–3 × 10⁻³), batch size ({32, 64, 128}), gradient clipping (0.5–5.0), the prior scale σ_p, the initial variational posterior scale, and the KL annealing schedule. Training ran for up to 300 epochs with early stopping (patience 25–30, minimum improvement 10⁻⁶) on validation ELBO. The final checkpoint was selected as the trial with the lowest validation NLL (posterior predictive). All models used Adam optimisation and Xavier uniform initialisation of the variational mean parameters.</w:t>
      </w:r>
    </w:p>
    <w:p>
      <w:r>
        <w:rPr>
          <w:rFonts w:ascii="Times New Roman" w:hAnsi="Times New Roman" w:eastAsia="微软雅黑"/>
        </w:rPr>
        <w:t>超参数通过 Optuna 使用 TPE 采样器和中位数剪枝独立优化。搜索空间包括：深度（3–8 层）、宽度（64–256）、学习率（10⁻⁴–3 × 10⁻³）、批大小（{32, 64, 128}）、梯度裁剪（0.5–5.0）、先验尺度 σ_p、变分后验初始尺度以及 KL 退火方案。训练至多 300 个 epoch，基于验证集 ELBO 早停（耐心 25–30，最小改进 10⁻⁶）。最终检查点选取验证集后验预测 NLL 最低的试验。所有模型使用 Adam 优化器与 Xavier 均匀初始化变分均值参数。</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20,000 samples are drawn from the joint prior (Section 4.1) by Latin hypercube sampling.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映射到输出不确定性。从联合先验（4.1 节）通过拉丁超立方采样抽取 20,000 个样本。对每个 θ_i， BNN 返回 15 个输出的后验预测均值 μ̂(θ_i)（对 M 个权重样本边缘化）。 {μ̂(θ_i)} 的经验分布构成先验预测不确定性传播。</w:t>
      </w:r>
    </w:p>
    <w:p>
      <w:r>
        <w:rPr>
          <w:rFonts w:ascii="Times New Roman" w:hAnsi="Times New Roman" w:eastAsia="微软雅黑"/>
        </w:rPr>
        <w:t>This protocol (y = μ̂(θ) = E_w[μ_w(θ)]) deliberately isolates parametric uncertainty from the BNN's epistemic+aleatoric predictive spread. Because the BNN's posterior predictive variance already models both the observation-noise and weight-uncertainty contributions, including it in the forward propagation (y = μ̂(θ) + σ̂(θ) · ε, ε ~ N(0,1)) would mix the parametric prior with the surrogate's own uncertainty.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 = E_w[μ_w(θ)]）有意隔离参数不确定性与 BNN 自身的认识论+偶然预测展宽。由于 BNN 后验预测方差已同时建模观测噪声与权重不确定性，若在前向传播中包含它（y = μ̂(θ) + σ̂(θ) · ε）会将参数先验与代理自身不确定性混合。正文结果报告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 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BNN posterior-predictive-mean evaluations per replication is N_S × (8 + 2) = 40,960. The BNN posterior predictive mean μ̂(θ) serves as the deterministic evaluator, for the same reason as in forward UQ: isolating parametric sensitivity from surrogate uncertainty.</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 BNN 后验预测均值评估总数为 N_S × (8 + 2) = 40,960。BNN 后验预测均值 μ̂(θ) 充当确定性评估器，原因与前向 UQ 相同：隔离参数敏感性与代理不确定性。</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BNN posterior predictive mean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both as an updated parameter distribution and as the input to an observation-conditioned exceedance-risk estimator (defined at the end of this section).</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 BNN 后验预测均值与观测噪声模型共同给出的似然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表示，下游既作为更新后的参数分布使用，也作为观测条件下超阈风险估计（本节末尾给出定义）的输入。</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BNN has not seen the true parameter-output pairs during training. A total of 18 benchmark cases are selected by stratified sampling across three stress categories: 6 low-stress, 6 near-threshold (around 131 MPa), and 6 high-stress cases. An additional 10 feasibility-check cases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 BNN 在训练中未见过真实参数–输出对。通过在三个应力类别中分层采样选取共 18 个基准案例：6 低应力、6 近阈值（约 131 MPa 附近）和 6 高应力案例。另选 10 个可行性检验案例（均超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Metropolis-Hastings MCMC with 4 independent chains per case, each initialised from a different random draw from the prior to enable a Gelman-Rubin convergence diagnostic.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后验通过 Metropolis-Hastings MCMC 采样，每个案例独立运行 4 条链，各链从先验中随机抽取不同起点初始化，以便计算 Gelman-Rubin 收敛诊断。提议分布为以当前状态为中心的高斯分布，每个参数的尺度为 0.40 × σ_prior （σ_prior 为先验标准差）。每条链运行 8000 步迭代；前 2000 步作为烧入期丢弃，每 5 步保留 1 个样本，每条链 1200 个后验样本，合并后每个案例共 4800 个。候选参数向量 θ* 的对数似然使用对权重样本边缘化后的 BNN 后验预测均值 μ̂_j(θ*) 作为前向模型代理：</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σ_obs,j = 0.02 × |y_true,j| is the observation noise standard deviation. Acceptance rates across the 18 benchmark cases are reported in Section 2.4. Convergence is assessed by the Gelman-Rubin statistic R̂ across the 4 chains per case, supplemented by trace-plot inspection (Fig. A1). Cases are accepted as converged when R̂ &lt; 1.1 for every calibrated parameter; the detailed per-case R̂ values are reported in Appendix F.</w:t>
      </w:r>
    </w:p>
    <w:p>
      <w:r>
        <w:rPr>
          <w:rFonts w:ascii="Times New Roman" w:hAnsi="Times New Roman" w:eastAsia="微软雅黑"/>
        </w:rPr>
        <w:t>其中 σ_obs,j = 0.02 × |y_true,j| 为观测噪声标准差。18 个基准案例的接受率在第 2.4 节报告。收敛以每案例 4 链的 Gelman-Rubin 统计量 R̂ 为主评估，trace plot 为辅（图 A1）；当所有标定参数 R̂ &lt; 1.1 时该案例判为收敛，逐案例 R̂ 见附录 F。</w:t>
      </w:r>
    </w:p>
    <w:p>
      <w:r>
        <w:rPr>
          <w:rFonts w:ascii="Times New Roman" w:hAnsi="Times New Roman" w:eastAsia="微软雅黑"/>
        </w:rPr>
        <w:t>Given the posterior MCMC samples {θ^(m)}_{m=1}^{M}, the observation-conditioned exceedance probability at a screening threshold τ is defined as the posterior expectation of the mean-prediction exceedance indicator:</w:t>
      </w:r>
    </w:p>
    <w:p>
      <w:r>
        <w:rPr>
          <w:rFonts w:ascii="Times New Roman" w:hAnsi="Times New Roman" w:eastAsia="微软雅黑"/>
        </w:rPr>
        <w:t xml:space="preserve">  P(σ_max &gt; τ | y_obs) = (1/M) Σ_m 𝟙{μ̂_stress(θ^(m)) &gt; τ}.</w:t>
      </w:r>
    </w:p>
    <w:p>
      <w:r>
        <w:rPr>
          <w:rFonts w:ascii="Times New Roman" w:hAnsi="Times New Roman" w:eastAsia="微软雅黑"/>
        </w:rPr>
        <w:t>This is the posterior counterpart of the prior exceedance probability defined in Section 4.4. Consistent with the μ̂-only protocol adopted throughout the main text, BNN predictive variance is not integrated into the risk indicator; the risk is an exceedance probability over the posterior distribution of parameters.</w:t>
      </w:r>
    </w:p>
    <w:p>
      <w:r>
        <w:rPr>
          <w:rFonts w:ascii="Times New Roman" w:hAnsi="Times New Roman" w:eastAsia="微软雅黑"/>
        </w:rPr>
        <w:t>给定后验 MCMC 样本 {θ^(m)}_{m=1}^{M}，筛选阈值 τ 下的观测条件超阈概率定义为均值预测超阈指示函数在后验上的期望：</w:t>
      </w:r>
    </w:p>
    <w:p>
      <w:r>
        <w:rPr>
          <w:rFonts w:ascii="Times New Roman" w:hAnsi="Times New Roman" w:eastAsia="微软雅黑"/>
        </w:rPr>
        <w:t xml:space="preserve">  P(σ_max &gt; τ | y_obs) = (1/M) Σ_m 𝟙{μ̂_stress(θ^(m)) &gt; τ}。</w:t>
      </w:r>
    </w:p>
    <w:p>
      <w:r>
        <w:rPr>
          <w:rFonts w:ascii="Times New Roman" w:hAnsi="Times New Roman" w:eastAsia="微软雅黑"/>
        </w:rPr>
        <w:t>这是 4.4 节给出的先验超阈概率在观测条件下的对应量。与全文采用的 μ̂-only 协议一致，BNN 预测方差不整合进风险指示函数；该风险为参数后验分布上的超阈概率。</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BNN's posterior-mean predictions are physically realisable. Their scope is limited to the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 BNN 的后验均值预测是否在物理上可实现。其范围限于所选案例，不构成代理泛化能力的系统性验证。</w:t>
      </w:r>
    </w:p>
    <w:p>
      <w:pPr>
        <w:pStyle w:val="Heading1"/>
      </w:pPr>
      <w:r>
        <w:t>5. 结论 / Conclusion</w:t>
      </w:r>
    </w:p>
    <w:p>
      <w:r>
        <w:rPr>
          <w:rFonts w:ascii="Times New Roman" w:hAnsi="Times New Roman" w:eastAsia="微软雅黑"/>
        </w:rPr>
        <w:t>This work presented a Bayesian neural network probabilistic surrogate framework for coupled multi-physics uncertainty-to-risk analysis in a heat-pipe-cooled reactor. The principal findings are:</w:t>
      </w:r>
    </w:p>
    <w:p>
      <w:r>
        <w:rPr>
          <w:rFonts w:ascii="Times New Roman" w:hAnsi="Times New Roman" w:eastAsia="微软雅黑"/>
        </w:rPr>
        <w:t>本文提出了贝叶斯神经网络概率代理框架，用于热管冷却反应堆耦合多物理场不确定性–风险分析。主要发现如下：</w:t>
      </w:r>
    </w:p>
    <w:p>
      <w:r>
        <w:rPr>
          <w:rFonts w:ascii="Times New Roman" w:hAnsi="Times New Roman" w:eastAsia="微软雅黑"/>
        </w:rPr>
        <w:t>(1) The BNN maintained stress R² = 0.910 and PICP₉₀ = 0.998 in-distribution, with a natural decomposition of the predictive variance into epistemic and aleatoric components that is exploited by the downstream risk pipeline.</w:t>
      </w:r>
    </w:p>
    <w:p>
      <w:r>
        <w:rPr>
          <w:rFonts w:ascii="Times New Roman" w:hAnsi="Times New Roman" w:eastAsia="微软雅黑"/>
        </w:rPr>
        <w:t>（1）BNN 在分布内保持应力 R² = 0.910 和 PICP₉₀ = 0.998，预测方差可自然分解为认识论与偶然两个分量，供下游风险流水线直接使用。</w:t>
      </w:r>
    </w:p>
    <w:p>
      <w:r>
        <w:rPr>
          <w:rFonts w:ascii="Times New Roman" w:hAnsi="Times New Roman" w:eastAsia="微软雅黑"/>
        </w:rPr>
        <w:t>(2) Multi-physics coupling compresses material-parameter-driven stress uncertainty by ~28% (decoupled σ ≈ 49.2 MPa → coupled σ ≈ 35.5 MPa), consistent with the expected neutronics-thermal negative feedback that is absent in decoupled analysis.</w:t>
      </w:r>
    </w:p>
    <w:p>
      <w:r>
        <w:rPr>
          <w:rFonts w:ascii="Times New Roman" w:hAnsi="Times New Roman" w:eastAsia="微软雅黑"/>
        </w:rPr>
        <w:t>（2）多物理耦合将材料参数驱动的应力不确定性压缩约 28% （解耦 σ ≈ 49.2 MPa → 耦合 σ ≈ 35.5 MPa），与解耦分析中不存在的中子–热负反馈机制一致。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~59% of first-order stress variance)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0.56，约占应力一阶方差的 59%）主导应力，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0.74）主导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(90%-CI coverage 0.889 across 18 benchmark cases, P(σ &gt; 131 MPa | posterior) = 0.63–1.00 across the 10 near/high-stress cases for which the feasible-region table is available). Direct high-fidelity rerun of the posterior means is queued and will be reported in the supplementary revision (Section 2.5); posterior-mean vs. true stress MAE over the reference benchmark set is 6.6 MPa (bias +2.5 MPa, stress range 133–194 MPa).</w:t>
      </w:r>
    </w:p>
    <w:p>
      <w:r>
        <w:rPr>
          <w:rFonts w:ascii="Times New Roman" w:hAnsi="Times New Roman" w:eastAsia="微软雅黑"/>
        </w:rPr>
        <w:t>（4）后验标定将推断参数分布向与观测相容的区域收敛（18 例基准案例 90%- CI 覆盖率 0.889；在 feasible_region 表可覆盖的 10 例 near/high 应力案例上，P(σ &gt; 131 MPa | 后验) = 0.63–1.00）。后验均值处的直接高保真重跑尚在排队，将在补充修订中报告（见 2.5 节）；基准集上后验均值与真实应力的 MAE 为 6.6 MPa（偏差 +2.5 MPa，应力范围 133–194 MPa）。</w:t>
      </w:r>
    </w:p>
    <w:p>
      <w:r>
        <w:rPr>
          <w:rFonts w:ascii="Times New Roman" w:hAnsi="Times New Roman" w:eastAsia="微软雅黑"/>
        </w:rPr>
        <w:t>The ≈ 1.76×10⁵ speedup per posterior-predictive draw (and ≈ 1.69×10⁸ per batched per-sample inference)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 1.76×10⁵ 的后验预测抽样加速比（批处理单样本加速比 ≈ 1.69×10⁸）相对耦合求解器，使完整流水线——前向 UQ、敏感性分析和后验标定——可在数分钟内完成，使具有显著材料不确定性的反应堆系统的风险知情决策在计算上可行。</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et al. Design-oriented multiphysics analysis and surrogate modelling of a heat-pipe-cooled reactor reporting nominal peak stress ~169 MPa. Energy. 2025. [existing manuscript citation — DOI/volume to be completed by author]</w:t>
      </w:r>
    </w:p>
    <w:p>
      <w:r>
        <w:rPr>
          <w:rFonts w:ascii="Times New Roman" w:hAnsi="Times New Roman" w:eastAsia="微软雅黑"/>
        </w:rPr>
        <w:t xml:space="preserve">[10] Blundell C, Cornebise J, Kavukcuoglu K, Wierstra D. Weight uncertainty in neural networks (Bayes by Backprop). ICML, 2015. </w:t>
      </w:r>
      <w:r>
        <w:rPr>
          <w:rFonts w:ascii="Times New Roman" w:hAnsi="Times New Roman" w:eastAsia="微软雅黑"/>
          <w:b/>
          <w:color w:val="CC0000"/>
        </w:rPr>
        <w:t>【待补参考：BNN 主方法引用，依据 §4.3 最终拍板方案调整】</w:t>
      </w:r>
    </w:p>
    <w:p>
      <w:r>
        <w:rPr>
          <w:rFonts w:ascii="Times New Roman" w:hAnsi="Times New Roman" w:eastAsia="微软雅黑"/>
        </w:rPr>
        <w:t xml:space="preserve">[11] Gal Y, Ghahramani Z. Dropout as a Bayesian approximation. ICML, 2016. </w:t>
      </w:r>
      <w:r>
        <w:rPr>
          <w:rFonts w:ascii="Times New Roman" w:hAnsi="Times New Roman" w:eastAsia="微软雅黑"/>
          <w:b/>
          <w:color w:val="CC0000"/>
        </w:rPr>
        <w:t>【备选】</w:t>
      </w:r>
    </w:p>
    <w:p>
      <w:r>
        <w:rPr>
          <w:rFonts w:ascii="Times New Roman" w:hAnsi="Times New Roman" w:eastAsia="微软雅黑"/>
        </w:rPr>
        <w:t xml:space="preserve">[12] Lakshminarayanan B, Pritzel A, Blundell C. Simple and scalable predictive uncertainty estimation using deep ensembles. NeurIPS, 2017. </w:t>
      </w:r>
      <w:r>
        <w:rPr>
          <w:rFonts w:ascii="Times New Roman" w:hAnsi="Times New Roman" w:eastAsia="微软雅黑"/>
          <w:b/>
          <w:color w:val="CC0000"/>
        </w:rPr>
        <w:t>【备选】</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评估（四特征尾部：应力 OOD R²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确定性 HeteroMLP 基线完整测试集对比 C. 阈值扩展分析（110, 120, 131 MPa 扫描） D. 完整 Sobol 结果（8 输入 × 2 输出，含 S_T 指数与 CI） E. 全部 15 输出量精度表（FIG A5: 分输出精度图） F. MCMC 迹图（FIG A1）+ 多链 Rhat 诊断 G. 先验–后验边缘分布（FIG A2） H. BNN 校准可靠性曲线（FIG A3） I. 认识论 vs 偶然不确定性可视化（FIG A4） J. 先验–后验预测分布对比（FIG A6） K. BNN 架构示意图（FIG A7） L. 训练曲线（FIG A8）——BNN ELBO + 基线 NLL 演化 M. 速度基准详情表（TABLE M1） N. 前向 UQ predictive variant 结果对比（μ̂-only vs full posterior predictive） O. BNN 推断方案消融（MFVI vs MC-Dropout vs Ensemble，若启用）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