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Posterior-Predictive Bayesian Surrogate for Coupled Neutronic–Thermal–Structural Analysis in Heat-Pipe-Cooled Reactors</w:t>
      </w:r>
    </w:p>
    <w:p>
      <w:pPr>
        <w:jc w:val="center"/>
      </w:pPr>
      <w:r>
        <w:rPr>
          <w:rFonts w:ascii="Times New Roman" w:hAnsi="Times New Roman" w:eastAsia="微软雅黑"/>
          <w:b/>
          <w:sz w:val="26"/>
        </w:rPr>
        <w:t>面向热管冷却反应堆耦合中子–热–力分析的后验预测贝叶斯代理</w:t>
      </w:r>
    </w:p>
    <w:p>
      <w:pPr>
        <w:jc w:val="center"/>
      </w:pPr>
      <w:r>
        <w:rPr>
          <w:rFonts w:ascii="Times New Roman" w:hAnsi="Times New Roman" w:eastAsia="微软雅黑"/>
          <w:color w:val="999999"/>
          <w:sz w:val="18"/>
        </w:rPr>
        <w:t>Draft v4 (Round-6A prose surgery)  |  Generated 2026-04-17 06:57</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and across 18 benchmark calibrations the inferred parameter distribution contracts toward observation-compatible regions with 90%-CI coverage </w:t>
      </w:r>
      <w:r>
        <w:rPr>
          <w:rFonts w:ascii="Times New Roman" w:hAnsi="Times New Roman" w:eastAsia="微软雅黑"/>
          <w:b/>
          <w:color w:val="CC0000"/>
        </w:rPr>
        <w:t>【x】</w:t>
      </w:r>
      <w:r>
        <w:rPr>
          <w:rFonts w:ascii="Times New Roman" w:hAnsi="Times New Roman" w:eastAsia="微软雅黑"/>
        </w:rPr>
        <w:t>. With each posterior predictive draw costing ≈ 1.76 × 10⁵× less than a coupled high-fidelity case (2266 s on AMD EPYC 9654), the full coupled-multiphysics uncertainty workflow runs end-to-end at surrogate cost on a single workstation.</w:t>
      </w:r>
    </w:p>
    <w:p>
      <w:r>
        <w:rPr>
          <w:rFonts w:ascii="Times New Roman" w:hAnsi="Times New Roman" w:eastAsia="微软雅黑"/>
        </w:rPr>
        <w:t xml:space="preserve">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 OpenMC–FEniCS 数据上训练贝叶斯神经网络（BNN）代理，并以其后验预测分布作为下游三类分析所共用的概率对象，三者无需各自重训或重新校准。双向耦合主动重塑了由参数驱动的应力分布，使其标准差相对解耦预测降低约 28%；应力与反应性由基本分离的主控参数支配（分别为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）；在 18 例基准案例上，所推断的参数分布收敛至与观测相容的区域，90%-CI 覆盖率为 </w:t>
      </w:r>
      <w:r>
        <w:rPr>
          <w:rFonts w:ascii="Times New Roman" w:hAnsi="Times New Roman" w:eastAsia="微软雅黑"/>
          <w:b/>
          <w:color w:val="CC0000"/>
        </w:rPr>
        <w:t>【x】</w:t>
      </w:r>
      <w:r>
        <w:rPr>
          <w:rFonts w:ascii="Times New Roman" w:hAnsi="Times New Roman" w:eastAsia="微软雅黑"/>
        </w:rPr>
        <w:t>。每次后验预测抽样的代价较耦合高保真单案例（AMD EPYC 9654 上 2266 s）减小约 1.76 × 10⁵ 倍，完整的耦合多物理不确定性工作流可在单台工作站上以代理代价端到端运行。</w:t>
      </w:r>
    </w:p>
    <w:p>
      <w:pPr>
        <w:pStyle w:val="Heading1"/>
      </w:pPr>
      <w:r>
        <w:t>1. 引言 / Introduction</w:t>
      </w:r>
    </w:p>
    <w:p>
      <w:r>
        <w:rPr>
          <w:rFonts w:ascii="Times New Roman" w:hAnsi="Times New Roman" w:eastAsia="微软雅黑"/>
        </w:rPr>
        <w:t>In compact reactor designs, the outputs that set safety margin — peak stress, peak temperature, reactivity — are not produced by any one physics. They emerge from a two-way coupling among neutronics, heat transfer and structural mechanics. Coupled multiphysics simulation has accordingly become a core capability across several reactor analysis programmes [1,2].</w:t>
      </w:r>
    </w:p>
    <w:p>
      <w:r>
        <w:rPr>
          <w:rFonts w:ascii="Times New Roman" w:hAnsi="Times New Roman" w:eastAsia="微软雅黑"/>
        </w:rPr>
        <w:t>The same coupling carries into the uncertainty layer. A single uncertain material parameter no longer enters one closed equation. It propagates simultaneously across the neutronic, thermal and structural channels, and the closed feedback can either amplify or attenuate the resulting variability. The appropriate level at which to study material-parameter uncertainty is therefore a coupled probabilistic one, not a decoupled or single-physics one.</w:t>
      </w:r>
    </w:p>
    <w:p>
      <w:r>
        <w:rPr>
          <w:rFonts w:ascii="Times New Roman" w:hAnsi="Times New Roman" w:eastAsia="微软雅黑"/>
        </w:rPr>
        <w:t>紧凑型反应堆设计中，决定安全裕量的输出量——峰值应力、峰值温度、反应性——并非由任一单一物理产生。它们由中子学、传热与结构力学之间的双向耦合共同决定。耦合多物理仿真因此已成为多个反应堆分析项目的核心能力 [1,2]。</w:t>
      </w:r>
    </w:p>
    <w:p>
      <w:r>
        <w:rPr>
          <w:rFonts w:ascii="Times New Roman" w:hAnsi="Times New Roman" w:eastAsia="微软雅黑"/>
        </w:rPr>
        <w:t>进入不确定性层面后，同一耦合结构会被原样继承下来。单个不确定的材料参数不再只进入一个封闭方程。它在中子、热与结构通道间同时传播，闭合反馈既可能放大、也可能衰减最终变异。研究此类系统中的材料参数不确定性，因此应在耦合概率层面进行，而不是在解耦或单场层面。</w:t>
      </w:r>
    </w:p>
    <w:p>
      <w:r>
        <w:rPr>
          <w:rFonts w:ascii="Times New Roman" w:hAnsi="Times New Roman" w:eastAsia="微软雅黑"/>
        </w:rPr>
        <w:t>High-fidelity coupled-multiphysics analysis of compact reactor systems, including heat-pipe microreactors, has accordingly become an active international direction. MOOSE-based toolchains have demonstrated coupled neutronics–thermo-mechanics–heat-pipe analysis on KRUSTY-class and larger designs [2,3]. Commercial thermal–structural studies independently identify stress concentration and structural integrity as recurring safety drivers in monolithic-core configurations [4,5]. Surrogate generation, stochastic analysis and probabilistic workflow modules built around large-scale simulators are also being developed, both within the MOOSE ecosystem [6,7] and through emerging digital-twin pipelines [8].</w:t>
      </w:r>
    </w:p>
    <w:p>
      <w:r>
        <w:rPr>
          <w:rFonts w:ascii="Times New Roman" w:hAnsi="Times New Roman" w:eastAsia="微软雅黑"/>
        </w:rPr>
        <w:t>What is still missing is a unified probabilistic computational layer. In such a layer, fast surrogate prediction, forward uncertainty propagation, global sensitivity attribution and observation-conditioned posterior updating would all act on the same probabilistic object derived from a coupled simulation. In current practice, each of these downstream tasks is wired to a separately tuned model.</w:t>
      </w:r>
    </w:p>
    <w:p>
      <w:r>
        <w:rPr>
          <w:rFonts w:ascii="Times New Roman" w:hAnsi="Times New Roman" w:eastAsia="微软雅黑"/>
        </w:rPr>
        <w:t>紧凑型反应堆系统——包括热管微堆——的高保真耦合多物理分析因此已是国际上的活跃方向。基于 MOOSE 的工具链已在 KRUSTY 类与更大设计上完成中子学、热–力学与热管的耦合分析 [2,3]。商用热–力求解器的研究则独立指出，应力集中与结构完整性是基体式堆芯构型中持续性的安全驱动因素 [4,5]。围绕大规模仿真器的代理生成、随机分析与概率工作流模块也在 MOOSE 生态 [6,7] 与新兴数字孪生管线 [8] 中陆续出现。</w:t>
      </w:r>
    </w:p>
    <w:p>
      <w:r>
        <w:rPr>
          <w:rFonts w:ascii="Times New Roman" w:hAnsi="Times New Roman" w:eastAsia="微软雅黑"/>
        </w:rPr>
        <w:t>仍然缺失的，是一层统一的概率计算结构。在这样一层结构中，快速代理预测、前向不确定性传播、全局敏感性归因与观测条件后验更新都作用在由耦合仿真得到的同一概率对象上。在现有实践中，下游各任务仍各自挂靠在分别调参的模型上。</w:t>
      </w:r>
    </w:p>
    <w:p>
      <w:r>
        <w:rPr>
          <w:rFonts w:ascii="Times New Roman" w:hAnsi="Times New Roman" w:eastAsia="微软雅黑"/>
        </w:rPr>
        <w:t>Closing this gap from the surrogate side is non-trivial. Each coupled high-fidelity solve costs on the order of 10³ s. Forward Monte Carlo propagation over an eight-dimensional material-parameter space, and Bayesian calibration with comparable likelihood counts, are therefore both infeasible directly on the coupled solver.</w:t>
      </w:r>
    </w:p>
    <w:p>
      <w:r>
        <w:rPr>
          <w:rFonts w:ascii="Times New Roman" w:hAnsi="Times New Roman" w:eastAsia="微软雅黑"/>
        </w:rPr>
        <w:t>Standard surrogates close only part of the gap. Gaussian processes and polynomial chaos become constrained in strongly nonlinear, moderately high-dimensional coupled settings. Physics-informed neural networks are difficult to formulate when the governing structure is expressed through iterative solver exchange rather than a single closed residual. Deterministic data-driven networks scale well but do not produce a coherent predictive distribution; the downstream forward UQ, sensitivity and posterior tasks therefore have no shared object to read off.</w:t>
      </w:r>
    </w:p>
    <w:p>
      <w:r>
        <w:rPr>
          <w:rFonts w:ascii="Times New Roman" w:hAnsi="Times New Roman" w:eastAsia="微软雅黑"/>
        </w:rPr>
        <w:t>A Bayesian neural network (BNN) places a distribution over the network weights. Its posterior predictive distribution can be sampled densely on the surrogate side, and the same distribution serves as the common probabilistic object to which all three downstream analyses are wired.</w:t>
      </w:r>
    </w:p>
    <w:p>
      <w:r>
        <w:rPr>
          <w:rFonts w:ascii="Times New Roman" w:hAnsi="Times New Roman" w:eastAsia="微软雅黑"/>
        </w:rPr>
        <w:t>从代理侧弥合这一差距并不简单。每次耦合高保真求解约需 10³ s。8 维材料参数空间上的前向蒙特卡洛传播，以及需要相近量级似然评估的贝叶斯标定，因此都无法直接在耦合求解器上完成。</w:t>
      </w:r>
    </w:p>
    <w:p>
      <w:r>
        <w:rPr>
          <w:rFonts w:ascii="Times New Roman" w:hAnsi="Times New Roman" w:eastAsia="微软雅黑"/>
        </w:rPr>
        <w:t>常规代理方法只能部分弥合这一差距。高斯过程与多项式混沌在强非线性、中高维耦合设置下受维度与光滑性假设限制。物理信息神经网络在以迭代求解器交换、而非单一闭合残差表达的控制结构上难以构造损失。纯确定性数据驱动神经网络虽然可扩展，却无法给出连贯的预测分布；下游的前向 UQ、敏感性与后验任务因此缺少一个可共用的对象。</w:t>
      </w:r>
    </w:p>
    <w:p>
      <w:r>
        <w:rPr>
          <w:rFonts w:ascii="Times New Roman" w:hAnsi="Times New Roman" w:eastAsia="微软雅黑"/>
        </w:rPr>
        <w:t>贝叶斯神经网络（BNN）对网络权重引入分布。其后验预测分布可在代理侧被密集采样；同一分布即作为下游三类分析所共用的概率对象。</w:t>
      </w:r>
    </w:p>
    <w:p>
      <w:r>
        <w:rPr>
          <w:rFonts w:ascii="Times New Roman" w:hAnsi="Times New Roman" w:eastAsia="微软雅黑"/>
        </w:rPr>
        <w:t>This paper builds such a probabilistic surrogate for a heat-pipe-cooled reactor. The BNN is trained on coupled OpenMC–FEniCS data of the neutronic–thermal–structural response. Its posterior predictive distribution is the single object on which forward Monte Carlo propagation, variance-based Sobol attribution and observation-conditioned MCMC calibration all operate. None of the three downstream analyses is retrained or recalibrated separately.</w:t>
      </w:r>
    </w:p>
    <w:p>
      <w:r>
        <w:rPr>
          <w:rFonts w:ascii="Times New Roman" w:hAnsi="Times New Roman" w:eastAsia="微软雅黑"/>
        </w:rPr>
        <w:t>The interest of this construction is not the surrogate in isolation, but what it makes possible. The three uncertainty analyses are read against the same predictive surface. The end-to-end cost of the workflow is set by the surrogate rather than by repeated coupled solves.</w:t>
      </w:r>
    </w:p>
    <w:p>
      <w:r>
        <w:rPr>
          <w:rFonts w:ascii="Times New Roman" w:hAnsi="Times New Roman" w:eastAsia="微软雅黑"/>
        </w:rPr>
        <w:t>本文以热管冷却反应堆为对象构建了这样一个概率代理。BNN 在耦合 OpenMC–FEniCS 的中子–热–力响应数据上训练。其后验预测分布作为前向蒙特卡洛传播、方差型 Sobol 归因与观测条件 MCMC 标定共同作用的单一对象。下游三类分析均无需各自重训或重新校准。</w:t>
      </w:r>
    </w:p>
    <w:p>
      <w:r>
        <w:rPr>
          <w:rFonts w:ascii="Times New Roman" w:hAnsi="Times New Roman" w:eastAsia="微软雅黑"/>
        </w:rPr>
        <w:t>该构造的意义不在代理本身，而在它所支撑的工作。三类不确定性分析在同一预测面上读取。整套工作流的端到端代价由代理决定，而不再由反复的耦合求解决定。</w:t>
      </w:r>
    </w:p>
    <w:p>
      <w:pPr>
        <w:pStyle w:val="Heading1"/>
      </w:pPr>
      <w:r>
        <w:t>2. 结果 / Results</w:t>
      </w:r>
    </w:p>
    <w:p>
      <w:pPr>
        <w:pStyle w:val="Heading2"/>
      </w:pPr>
      <w:r>
        <w:t>2.1 代理精度 / Surrogate Accuracy</w:t>
      </w:r>
    </w:p>
    <w:p>
      <w:r>
        <w:rPr>
          <w:rFonts w:ascii="Times New Roman" w:hAnsi="Times New Roman" w:eastAsia="微软雅黑"/>
        </w:rPr>
        <w:t xml:space="preserve">Two coupled outputs anchor the rest of this paper. Peak global stress in the SS316 monolith sets the structural-integrity margin.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sets reactivity stability. For each output, the BNN surrogate returns a posterior predictive distribution rather than a point value; architecture, prior and inference scheme are detailed in Methods.</w:t>
      </w:r>
    </w:p>
    <w:p>
      <w:r>
        <w:rPr>
          <w:rFonts w:ascii="Times New Roman" w:hAnsi="Times New Roman" w:eastAsia="微软雅黑"/>
        </w:rPr>
        <w:t xml:space="preserve">The surrogate is evaluated on the 435 test samples not seen during training. It predicts stress with R² = 0.910, RMSE 8.93 MPa and MAE 6.98 MPa,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with R² = 0.825. The 90% predictive intervals are broader than the nominal level rather than sharply calibrated: PICP₉₀ = 0.998 for stress and 1.000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mean interval widths are 64.3 MPa and 2.90 × 10⁻³, i.e. ≈ 290 pcm. This is a conservative-coverage choice rather than a sharp-coverage one (Table 2, Fig. 2A).</w:t>
      </w:r>
    </w:p>
    <w:p>
      <w:r>
        <w:rPr>
          <w:rFonts w:ascii="Times New Roman" w:hAnsi="Times New Roman" w:eastAsia="微软雅黑"/>
        </w:rPr>
        <w:t xml:space="preserve">本文后续分析围绕两个耦合输出展开。SS316 基体峰值全局应力决定结构完整性裕量。中子增殖因子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决定反应性稳定性。BNN 代理对每个输出返回后验预测分布而非单点值；架构、先验与推断方案见方法节。</w:t>
      </w:r>
    </w:p>
    <w:p>
      <w:r>
        <w:rPr>
          <w:rFonts w:ascii="Times New Roman" w:hAnsi="Times New Roman" w:eastAsia="微软雅黑"/>
        </w:rPr>
        <w:t>代理在 435 个未参与训练的测试样本上评估。应力 R² = 0.910，RMSE 8.93 MPa，MAE 6.98 MPa；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 0.825。90% 预测区间相对名义水平偏宽而非紧贴：应力 PICP₉₀ = 0.998，</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1.000。平均区间宽度分别为 64.3 MPa 与 2.90 × 10⁻³，即约 290 pcm。这是一种保守覆盖、而非锐利覆盖的标定取舍（表 2、图 2A）。</w:t>
      </w:r>
    </w:p>
    <w:p>
      <w:r>
        <w:rPr>
          <w:rFonts w:ascii="Times New Roman" w:hAnsi="Times New Roman" w:eastAsia="微软雅黑"/>
        </w:rPr>
        <w:t>An ELBO-only ablation that removes the monotonicity and inequality priors is reported in the Appendix. Stress R² is roughly unchanged, but the 90% interval widens noticeably and rank-monotonic behaviour with respect to the dominant parameters weakens. Two consequences matter for the rest of the paper.</w:t>
      </w:r>
    </w:p>
    <w:p>
      <w:r>
        <w:rPr>
          <w:rFonts w:ascii="Times New Roman" w:hAnsi="Times New Roman" w:eastAsia="微软雅黑"/>
        </w:rPr>
        <w:t>First, the constraint terms tighten the predictive intervals without changing coverage — sharpening rather than miscalibration of predictive uncertainty. Second, and more importantly for the workflow that follows, the BNN exposes a single posterior predictive distribution. The same distribution propagates through the forward UQ, Sobol and MCMC analyses below, with no retraining and no recalibration. The three downstream analyses therefore share one probabilistic object instead of three independently tuned point models.</w:t>
      </w:r>
    </w:p>
    <w:p>
      <w:r>
        <w:rPr>
          <w:rFonts w:ascii="Times New Roman" w:hAnsi="Times New Roman" w:eastAsia="微软雅黑"/>
        </w:rPr>
        <w:t>附录中报告了一项去除单调性与不等式先验的 ELBO-only 消融。应力 R² 大致不变；但 90% 区间显著加宽，对主导参数的秩单调性也明显减弱。这两点对本文后续有两层影响。</w:t>
      </w:r>
    </w:p>
    <w:p>
      <w:r>
        <w:rPr>
          <w:rFonts w:ascii="Times New Roman" w:hAnsi="Times New Roman" w:eastAsia="微软雅黑"/>
        </w:rPr>
        <w:t>其一，约束项在覆盖率不变的前提下收紧了预测区间，是对预测不确定性的锐化而非失校。其二，对后续工作流更关键的是，BNN 暴露出一个单一的后验预测分布。同一分布在不重训、不重校准的前提下被前向 UQ、Sobol 与 MCMC 直接读取。下游三类分析因此共享一个概率对象，而非依赖三个独立调参的点估计模型。</w:t>
      </w:r>
    </w:p>
    <w:p>
      <w:pPr>
        <w:pStyle w:val="Heading2"/>
      </w:pPr>
      <w:r>
        <w:t>2.2 前向不确定性传播 / Forward Uncertainty Propagation</w:t>
      </w:r>
    </w:p>
    <w:p>
      <w:r>
        <w:rPr>
          <w:rFonts w:ascii="Times New Roman" w:hAnsi="Times New Roman" w:eastAsia="微软雅黑"/>
        </w:rPr>
        <w:t>Multiphysics coupling does not merely shift the parameter-driven stress distribution; it actively reshapes it. We propagate 20,000 Latin hypercube samples through the BNN posterior-predictive mean function y = E_w[μ_w(θ)], which isolates parametric variability from the surrogate's own predictive spread (see Methods). The resulting coupled prior-predictive stress distribution has mean 162.5 MPa and standard deviation 35.5 MPa. Its 5th, 50th and 95th percentiles are 107.4, 160.5 and 224.1 MPa.</w:t>
      </w:r>
    </w:p>
    <w:p>
      <w:r>
        <w:rPr>
          <w:rFonts w:ascii="Times New Roman" w:hAnsi="Times New Roman" w:eastAsia="微软雅黑"/>
        </w:rPr>
        <w:t>The decoupled (single-pass) distribution has mean ≈ 202.4 MPa and standard deviation ≈ 49.2 MPa. These values are derived from the test-set iter1/iter2 variance ratio var(σ_coupled)/var(σ_decoupled) = 0.52 and the observed mean shift Δ = −39.9 MPa. Coupling therefore reduces the stress standard deviation by ≈ 28% and lowers the median by ≈ 40 MPa. The closed neutronic–thermal feedback absorbs a substantial fraction of the parameter-driven variability that a decoupled analysis would predict (Table 4, Fig. 3).</w:t>
      </w:r>
    </w:p>
    <w:p>
      <w:r>
        <w:rPr>
          <w:rFonts w:ascii="Times New Roman" w:hAnsi="Times New Roman" w:eastAsia="微软雅黑"/>
        </w:rPr>
        <w:t>多物理耦合并非仅平移由参数驱动的应力分布；它对该分布做了实质性重塑。我们将 20,000 个拉丁超立方样本通过 BNN 后验预测均值函数 y = E_w[μ_w(θ)] 传播；该取法隔离参数变异与代理自身的预测展宽，详见方法节。所得耦合先验预测应力分布均值 162.5 MPa，标准差 35.5 MPa。其第 5、50、95 百分位分别为 107.4、160.5 与 224.1 MPa。</w:t>
      </w:r>
    </w:p>
    <w:p>
      <w:r>
        <w:rPr>
          <w:rFonts w:ascii="Times New Roman" w:hAnsi="Times New Roman" w:eastAsia="微软雅黑"/>
        </w:rPr>
        <w:t>解耦（单轮）预测分布均值约 202.4 MPa，标准差约 49.2 MPa。这两个值由测试集 iter1/iter2 方差比 var(σ_coupled)/var(σ_decoupled) = 0.52 与平均差 Δ = −39.9 MPa 推得。耦合反馈因此使应力标准差降低约 28%，中位数下移约 40 MPa。闭合的中子–热反馈吸收了解耦分析所预测的、由参数驱动的相当一部分变异（表 4、图 3）。</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response is qualitatively different. The coupled prior-predictive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1.07 × 10⁻³, i.e. ≈ 107 pcm.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the LHS design, with standard deviation ≈ 5 × 10⁻¹⁴. The reason is that, at the reference geometry, the eight sampled material parameters do not enter the cross-section tables.</w:t>
      </w:r>
    </w:p>
    <w:p>
      <w:r>
        <w:rPr>
          <w:rFonts w:ascii="Times New Roman" w:hAnsi="Times New Roman" w:eastAsia="微软雅黑"/>
        </w:rPr>
        <w:t xml:space="preserve">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entirely to thermo-mechanical feedback through thermal-expansion modification of core geometry. We do not report a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since the decoupled value carries no meaningful parametric uncertainty.</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的响应在性质上不同。耦合先验预测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 1.1036，标准差 1.07 × 10⁻³，即约 107 pcm。解耦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 LHS 设计下实质上为常数，标准差约 5 × 10⁻¹⁴。原因在于：在参考几何下，8 个采样材料参数并不进入截面表。</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的展宽因此完全归因于热膨胀改变堆芯几何的热–力反馈通道。由于解耦值不携带有意义的参数不确定性，本文不报告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These two coupled prior-predictive distributions — characterised above by their means, standard deviations and percentiles — are the object on which the global sensitivity and posterior-calibration analyses of Sections 2.3 and 2.4 operate.</w:t>
      </w:r>
    </w:p>
    <w:p>
      <w:r>
        <w:rPr>
          <w:rFonts w:ascii="Times New Roman" w:hAnsi="Times New Roman" w:eastAsia="微软雅黑"/>
        </w:rPr>
        <w:t>上述两个耦合先验预测分布——以均值、标准差与分位数表征——构成 §2.3 全局敏感性分析与 §2.4 后验标定共同作用的对象。</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with S₁ = 0.558 and 90% CI [0.551, 0.565]. It accounts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w:t>
      </w:r>
    </w:p>
    <w:p>
      <w:r>
        <w:rPr>
          <w:rFonts w:ascii="Times New Roman" w:hAnsi="Times New Roman" w:eastAsia="微软雅黑"/>
        </w:rPr>
        <w:t xml:space="preserve">The remaining four inputs have S₁ confidence intervals that approach or include zero. Factors whose CI crosses zero are not treated as stable contributors; SS316_alpha for stress falls into this category in three of four BNN variants.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S_T = 0.597, exceeding S₁ by only 0.039; this is consistent with a largely independent channel and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0.148，CI [0.139, 0.157]），SS316_k_ref 第三（S₁ = 0.076，CI [0.065, 0.087]）， ν 第四（S₁ = 0.067，CI [0.058, 0.077]）。</w:t>
      </w:r>
    </w:p>
    <w:p>
      <w:r>
        <w:rPr>
          <w:rFonts w:ascii="Times New Roman" w:hAnsi="Times New Roman" w:eastAsia="微软雅黑"/>
        </w:rPr>
        <w:t xml:space="preserve">其余 4 个输入的 S₁ 置信区间接近或包含零。CI 跨零的因子不被视为稳定贡献；四个 BNN 变体中三个的 SS316_alpha 对应力即属此类。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 S_T = 0.597，仅比 S₁ 高 0.039；这与"基本独立通道、高阶交互有限"的画像一致。</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with S₁ = 0.742 and CI [0.736, 0.747].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ν are secondary stable contributors, with S₁ ≈ 0.164 (CI [0.150, 0.178]) and S₁ ≈ 0.055 (CI [0.042, 0.068]). The remaining five inputs have small S₁ values whose confidence intervals include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consistent with thermal expansion controlling core geometry, and through it neutron leakage.</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 [0.736, 0.747]。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ν 为次级稳定贡献者：S₁ 分别约为 0.164（CI [0.150, 0.178]）与 0.055（CI [0.042, 0.068]）。其余 5 个参数 S₁ 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的主导与"热膨胀控制堆芯几何、并经由几何影响中子泄漏" 的物理图像一致。</w:t>
      </w:r>
    </w:p>
    <w:p>
      <w:r>
        <w:rPr>
          <w:rFonts w:ascii="Times New Roman" w:hAnsi="Times New Roman" w:eastAsia="微软雅黑"/>
        </w:rPr>
        <w:t xml:space="preserve">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dominated by different first-order factors.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Cross-interaction is limited at the first-order level: S_T − S₁ is small for both. The two primary outputs are therefore governed by largely non-overlapping physical pathways at the dominant-factor level.</w:t>
      </w:r>
    </w:p>
    <w:p>
      <w:r>
        <w:rPr>
          <w:rFonts w:ascii="Times New Roman" w:hAnsi="Times New Roman" w:eastAsia="微软雅黑"/>
        </w:rPr>
        <w:t xml:space="preserve">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由不同的一阶主控因子驱动。</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。一阶层面的交叉作用有限：两者 S_T − S₁ 均较小。两个主要输出因此在主控因子层面由基本不重叠的物理路径支配。</w:t>
      </w:r>
    </w:p>
    <w:p>
      <w:pPr>
        <w:pStyle w:val="Heading2"/>
      </w:pPr>
      <w:r>
        <w:t>2.4 后验标定 / Posterior Calibration</w:t>
      </w:r>
    </w:p>
    <w:p>
      <w:r>
        <w:rPr>
          <w:rFonts w:ascii="Times New Roman" w:hAnsi="Times New Roman" w:eastAsia="微软雅黑"/>
        </w:rPr>
        <w:t>Bayesian calibration on the surrogate updates the prior parameter distribution given noisy observations. It quantifies how much measurement-like information can contract that distribution. We run Metropolis-Hastings MCMC with 8000 iterations, burn-in 2000, thinning 5 and proposal scale 0.40; see Methods for the full configuration.</w:t>
      </w:r>
    </w:p>
    <w:p>
      <w:r>
        <w:rPr>
          <w:rFonts w:ascii="Times New Roman" w:hAnsi="Times New Roman" w:eastAsia="微软雅黑"/>
        </w:rPr>
        <w:t xml:space="preserve">The calibration is run on 18 benchmark cases. These cases are drawn by stratified sampling from the held-out test split, with six cases each in a low, intermediate and high stress band. The stratification keeps the calibration covering the operating range rather than a single nominal point. For each case, observations are constructed by perturbing the true high-fidelity outputs with 2% Gaussian noise; the likelihood model is given in Methods. Acceptance rates fall in </w:t>
      </w:r>
      <w:r>
        <w:rPr>
          <w:rFonts w:ascii="Times New Roman" w:hAnsi="Times New Roman" w:eastAsia="微软雅黑"/>
          <w:b/>
          <w:color w:val="CC0000"/>
        </w:rPr>
        <w:t>【x】</w:t>
      </w:r>
      <w:r>
        <w:rPr>
          <w:rFonts w:ascii="Times New Roman" w:hAnsi="Times New Roman" w:eastAsia="微软雅黑"/>
        </w:rPr>
        <w:t xml:space="preserve"> across the 18 cases, with mean </w:t>
      </w:r>
      <w:r>
        <w:rPr>
          <w:rFonts w:ascii="Times New Roman" w:hAnsi="Times New Roman" w:eastAsia="微软雅黑"/>
          <w:b/>
          <w:color w:val="CC0000"/>
        </w:rPr>
        <w:t>【x】</w:t>
      </w:r>
      <w:r>
        <w:rPr>
          <w:rFonts w:ascii="Times New Roman" w:hAnsi="Times New Roman" w:eastAsia="微软雅黑"/>
        </w:rPr>
        <w:t>. Trace-plot inspection supports stationarity after burn-in (Fig. A1).</w:t>
      </w:r>
    </w:p>
    <w:p>
      <w:r>
        <w:rPr>
          <w:rFonts w:ascii="Times New Roman" w:hAnsi="Times New Roman" w:eastAsia="微软雅黑"/>
        </w:rPr>
        <w:t>代理上的贝叶斯标定，是在给定含噪观测后更新先验参数分布。它量化测量类信息可使该分布收缩多少。我们运行 Metropolis-Hastings MCMC，迭代 8000 步，烧入 2000，抽稀 5，提议尺度 0.40；完整配置见方法节。</w:t>
      </w:r>
    </w:p>
    <w:p>
      <w:r>
        <w:rPr>
          <w:rFonts w:ascii="Times New Roman" w:hAnsi="Times New Roman" w:eastAsia="微软雅黑"/>
        </w:rPr>
        <w:t xml:space="preserve">标定在 18 个基准案例上运行。这 18 例由留出测试集分层抽样得到，低、中、高应力带各 6 例。这种分层使标定覆盖运行范围，而非集中在单一标称点。对每个案例，观测量由真实高保真输出叠加 2% 高斯噪声构造；似然模型见方法节。18 个案例接受率落在 </w:t>
      </w:r>
      <w:r>
        <w:rPr>
          <w:rFonts w:ascii="Times New Roman" w:hAnsi="Times New Roman" w:eastAsia="微软雅黑"/>
          <w:b/>
          <w:color w:val="CC0000"/>
        </w:rPr>
        <w:t>【x】</w:t>
      </w:r>
      <w:r>
        <w:rPr>
          <w:rFonts w:ascii="Times New Roman" w:hAnsi="Times New Roman" w:eastAsia="微软雅黑"/>
        </w:rPr>
        <w:t xml:space="preserve"> 区间，均值 </w:t>
      </w:r>
      <w:r>
        <w:rPr>
          <w:rFonts w:ascii="Times New Roman" w:hAnsi="Times New Roman" w:eastAsia="微软雅黑"/>
          <w:b/>
          <w:color w:val="CC0000"/>
        </w:rPr>
        <w:t>【x】</w:t>
      </w:r>
      <w:r>
        <w:rPr>
          <w:rFonts w:ascii="Times New Roman" w:hAnsi="Times New Roman" w:eastAsia="微软雅黑"/>
        </w:rPr>
        <w:t>。trace plot 显示烧入后采样平稳（图 A1）。</w:t>
      </w:r>
    </w:p>
    <w:p>
      <w:r>
        <w:rPr>
          <w:rFonts w:ascii="Times New Roman" w:hAnsi="Times New Roman" w:eastAsia="微软雅黑"/>
        </w:rPr>
        <w:t xml:space="preserve">Across the 18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w:t>
      </w:r>
      <w:r>
        <w:rPr>
          <w:rFonts w:ascii="Times New Roman" w:hAnsi="Times New Roman" w:eastAsia="微软雅黑"/>
          <w:b/>
          <w:color w:val="CC0000"/>
        </w:rPr>
        <w:t>【x】</w:t>
      </w:r>
      <w:r>
        <w:rPr>
          <w:rFonts w:ascii="Times New Roman" w:hAnsi="Times New Roman" w:eastAsia="微软雅黑"/>
        </w:rPr>
        <w:t>. The inferred parameter intervals therefore encompass the true parameter values at approximately the nominal 90% rate.</w:t>
      </w:r>
    </w:p>
    <w:p>
      <w:r>
        <w:rPr>
          <w:rFonts w:ascii="Times New Roman" w:hAnsi="Times New Roman" w:eastAsia="微软雅黑"/>
        </w:rPr>
        <w:t xml:space="preserve">The marginal posteriors show non-Gaussian features consistent with the multiplicative stress structure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this is consistent with the Sobol attribution in Section 2.3.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reflecting partial structural non-identifiability of the product form.</w:t>
      </w:r>
    </w:p>
    <w:p>
      <w:r>
        <w:rPr>
          <w:rFonts w:ascii="Times New Roman" w:hAnsi="Times New Roman" w:eastAsia="微软雅黑"/>
        </w:rPr>
        <w:t xml:space="preserve">18 个案例上，4 个被标定参数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的后验 90%-CI 覆盖率为 </w:t>
      </w:r>
      <w:r>
        <w:rPr>
          <w:rFonts w:ascii="Times New Roman" w:hAnsi="Times New Roman" w:eastAsia="微软雅黑"/>
          <w:b/>
          <w:color w:val="CC0000"/>
        </w:rPr>
        <w:t>【x】</w:t>
      </w:r>
      <w:r>
        <w:rPr>
          <w:rFonts w:ascii="Times New Roman" w:hAnsi="Times New Roman" w:eastAsia="微软雅黑"/>
        </w:rPr>
        <w:t>。所推断的参数区间以接近名义 90% 的比例覆盖真实参数值。</w:t>
      </w:r>
    </w:p>
    <w:p>
      <w:r>
        <w:rPr>
          <w:rFonts w:ascii="Times New Roman" w:hAnsi="Times New Roman" w:eastAsia="微软雅黑"/>
        </w:rPr>
        <w:t>边际后验呈现与乘积应力结构 σ ∝ E · α · ΔT 一致的非高斯特征。在高应力案例中，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的边际向更大值偏移；这与 §2.3 的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的联合后验出现一条补偿脊，反映该乘积形式部分结构不可识别。</w:t>
      </w:r>
    </w:p>
    <w:p>
      <w:r>
        <w:rPr>
          <w:rFonts w:ascii="Times New Roman" w:hAnsi="Times New Roman" w:eastAsia="微软雅黑"/>
        </w:rPr>
        <w:t xml:space="preserve">As a check that the contracted parameter distribution still corresponds to a physically sensible state of the surrogate, we evaluate the BNN posterior-predictive stress at the posterior-mean parameters of each benchmark case. Over a true-stress range of </w:t>
      </w:r>
      <w:r>
        <w:rPr>
          <w:rFonts w:ascii="Times New Roman" w:hAnsi="Times New Roman" w:eastAsia="微软雅黑"/>
          <w:b/>
          <w:color w:val="CC0000"/>
        </w:rPr>
        <w:t>【x】</w:t>
      </w:r>
      <w:r>
        <w:rPr>
          <w:rFonts w:ascii="Times New Roman" w:hAnsi="Times New Roman" w:eastAsia="微软雅黑"/>
        </w:rPr>
        <w:t xml:space="preserve"> MPa, the posterior-mean stress tracks the true stress with MAE = </w:t>
      </w:r>
      <w:r>
        <w:rPr>
          <w:rFonts w:ascii="Times New Roman" w:hAnsi="Times New Roman" w:eastAsia="微软雅黑"/>
          <w:b/>
          <w:color w:val="CC0000"/>
        </w:rPr>
        <w:t>【x】</w:t>
      </w:r>
      <w:r>
        <w:rPr>
          <w:rFonts w:ascii="Times New Roman" w:hAnsi="Times New Roman" w:eastAsia="微软雅黑"/>
        </w:rPr>
        <w:t xml:space="preserve"> MPa, RMSE = </w:t>
      </w:r>
      <w:r>
        <w:rPr>
          <w:rFonts w:ascii="Times New Roman" w:hAnsi="Times New Roman" w:eastAsia="微软雅黑"/>
          <w:b/>
          <w:color w:val="CC0000"/>
        </w:rPr>
        <w:t>【x】</w:t>
      </w:r>
      <w:r>
        <w:rPr>
          <w:rFonts w:ascii="Times New Roman" w:hAnsi="Times New Roman" w:eastAsia="微软雅黑"/>
        </w:rPr>
        <w:t xml:space="preserve"> MPa and mean bias </w:t>
      </w:r>
      <w:r>
        <w:rPr>
          <w:rFonts w:ascii="Times New Roman" w:hAnsi="Times New Roman" w:eastAsia="微软雅黑"/>
          <w:b/>
          <w:color w:val="CC0000"/>
        </w:rPr>
        <w:t>【x】</w:t>
      </w:r>
      <w:r>
        <w:rPr>
          <w:rFonts w:ascii="Times New Roman" w:hAnsi="Times New Roman" w:eastAsia="微软雅黑"/>
        </w:rPr>
        <w:t xml:space="preserve"> MPa. The calibration therefore contracts the inferred parameter distribution toward observation-compatible regions, not into surrogate-incompatible ones.</w:t>
      </w:r>
    </w:p>
    <w:p>
      <w:r>
        <w:rPr>
          <w:rFonts w:ascii="Times New Roman" w:hAnsi="Times New Roman" w:eastAsia="微软雅黑"/>
        </w:rPr>
        <w:t>为核验所收缩的参数分布仍对应于代理意义下物理合理的状态，我们在每个基准案例的后验均值参数处评估 BNN 后验预测应力。在真实应力范围</w:t>
      </w:r>
      <w:r>
        <w:rPr>
          <w:rFonts w:ascii="Times New Roman" w:hAnsi="Times New Roman" w:eastAsia="微软雅黑"/>
          <w:b/>
          <w:color w:val="CC0000"/>
        </w:rPr>
        <w:t>【x】</w:t>
      </w:r>
      <w:r>
        <w:rPr>
          <w:rFonts w:ascii="Times New Roman" w:hAnsi="Times New Roman" w:eastAsia="微软雅黑"/>
        </w:rPr>
        <w:t xml:space="preserve"> MPa 下，后验均值应力与真实应力吻合：MAE = </w:t>
      </w:r>
      <w:r>
        <w:rPr>
          <w:rFonts w:ascii="Times New Roman" w:hAnsi="Times New Roman" w:eastAsia="微软雅黑"/>
          <w:b/>
          <w:color w:val="CC0000"/>
        </w:rPr>
        <w:t>【x】</w:t>
      </w:r>
      <w:r>
        <w:rPr>
          <w:rFonts w:ascii="Times New Roman" w:hAnsi="Times New Roman" w:eastAsia="微软雅黑"/>
        </w:rPr>
        <w:t xml:space="preserve"> MPa，RMSE = </w:t>
      </w:r>
      <w:r>
        <w:rPr>
          <w:rFonts w:ascii="Times New Roman" w:hAnsi="Times New Roman" w:eastAsia="微软雅黑"/>
          <w:b/>
          <w:color w:val="CC0000"/>
        </w:rPr>
        <w:t>【x】</w:t>
      </w:r>
      <w:r>
        <w:rPr>
          <w:rFonts w:ascii="Times New Roman" w:hAnsi="Times New Roman" w:eastAsia="微软雅黑"/>
        </w:rPr>
        <w:t xml:space="preserve"> MPa，平均偏差 </w:t>
      </w:r>
      <w:r>
        <w:rPr>
          <w:rFonts w:ascii="Times New Roman" w:hAnsi="Times New Roman" w:eastAsia="微软雅黑"/>
          <w:b/>
          <w:color w:val="CC0000"/>
        </w:rPr>
        <w:t>【x】</w:t>
      </w:r>
      <w:r>
        <w:rPr>
          <w:rFonts w:ascii="Times New Roman" w:hAnsi="Times New Roman" w:eastAsia="微软雅黑"/>
        </w:rPr>
        <w:t xml:space="preserve"> MPa。标定因此把所推断的参数分布收敛至与观测相容的区域，而非漂移至与代理不相容的区域。</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 28% reduction in stress standard deviation, from σ ≈ 49.2 MPa in the decoupled response to σ ≈ 35.5 MPa in the coupled steady-state response, is a direct output of the forward UQ. It is consistent with the negative neutronic–thermal feedback typical of compact monolithic-core systems: thermal-expansion-induced geometry change modifies the neutronic balance and partially offsets the direct stress increase. The relative weight of each intermediate step is not separable from the BNN's input–output map. What the BNN-based forward UQ does establish is the net effect on the output uncertainty distribution, which is not visible from single-physics or decoupled analyses.</w:t>
      </w:r>
    </w:p>
    <w:p>
      <w:r>
        <w:rPr>
          <w:rFonts w:ascii="Times New Roman" w:hAnsi="Times New Roman" w:eastAsia="微软雅黑"/>
        </w:rPr>
        <w:t>应力标准差从解耦响应的 σ ≈ 49.2 MPa 下降到耦合稳态响应的 σ ≈ 35.5 MPa，约下降 28%，是前向 UQ 直接给出的输出。该现象与紧凑型基体堆芯典型的负向中子–热反馈一致：热膨胀引起的几何变化改变中子平衡，并部分抵消直接的应力增加。各中间步骤的相对权重无法仅凭 BNN 的输入–输出映射分离。BNN 前向 UQ 所建立的，是耦合对输出不确定性分布的净效应；该效应在单物理或解耦分析中不可见。</w:t>
      </w:r>
    </w:p>
    <w:p>
      <w:r>
        <w:rPr>
          <w:rFonts w:ascii="Times New Roman" w:hAnsi="Times New Roman" w:eastAsia="微软雅黑"/>
        </w:rPr>
        <w:t>A direct workflow consequence is that decoupled propagation overestimates the parameter-driven stress variability. The overestimate is conservative for safety-margin analysis and cannot drive an unsafe decision, but it inflates the apparent penalty associated with material-property uncertainty and can translate into manufacturing tolerances that are tighter than the coupled response actually warrants.</w:t>
      </w:r>
    </w:p>
    <w:p>
      <w:r>
        <w:rPr>
          <w:rFonts w:ascii="Times New Roman" w:hAnsi="Times New Roman" w:eastAsia="微软雅黑"/>
        </w:rPr>
        <w:t>对工作流的直接影响是：解耦层面的不确定性传播会高估由参数驱动的应力变异。该高估对安全裕量分析是保守的，不会引出不安全的判断，但会夸大材料不确定性所带来的表观惩罚，并可能转化为比耦合响应实际所需更严的制造公差。</w:t>
      </w:r>
    </w:p>
    <w:p>
      <w:pPr>
        <w:pStyle w:val="Heading2"/>
      </w:pPr>
      <w:r>
        <w:t>3.2 BNN 校准与模型选择 / BNN Calibration and Model Selection</w:t>
      </w:r>
    </w:p>
    <w:p>
      <w:r>
        <w:rPr>
          <w:rFonts w:ascii="Times New Roman" w:hAnsi="Times New Roman" w:eastAsia="微软雅黑"/>
        </w:rPr>
        <w:t>The monotonicity and inequality priors tighten the 90% predictive interval without degrading 90% coverage; the mean MPIW is smaller than in the ELBO-only ablation reported in the Appendix. This is the signature of sharpening, not of systematic miscalibration.</w:t>
      </w:r>
    </w:p>
    <w:p>
      <w:r>
        <w:rPr>
          <w:rFonts w:ascii="Times New Roman" w:hAnsi="Times New Roman" w:eastAsia="微软雅黑"/>
        </w:rPr>
        <w:t>Equally important for the workflow developed here is that the BNN provides one posterior predictive distribution. The same distribution propagates consistently through forward UQ, Sobol attribution and MCMC calibration. This single-object property is what allows the distribution-level quantities of Sections 2.2–2.4 to be read against the same predictive surface; a point-estimate surrogate cannot offer the same property.</w:t>
      </w:r>
    </w:p>
    <w:p>
      <w:r>
        <w:rPr>
          <w:rFonts w:ascii="Times New Roman" w:hAnsi="Times New Roman" w:eastAsia="微软雅黑"/>
        </w:rPr>
        <w:t>单调性与不等式先验在 90% 覆盖率不变的前提下收紧了 90% 预测区间；相对附录中 ELBO-only 消融，平均 MPIW 更窄。这是锐化的特征，而非系统性失校。</w:t>
      </w:r>
    </w:p>
    <w:p>
      <w:r>
        <w:rPr>
          <w:rFonts w:ascii="Times New Roman" w:hAnsi="Times New Roman" w:eastAsia="微软雅黑"/>
        </w:rPr>
        <w:t>对本文所构建的工作流同样关键的是，BNN 提供单一的后验预测分布。同一分布在前向 UQ、Sobol 归因与 MCMC 标定之间一致传播。正是这种"单一对象"性质，使 §2.2–§2.4 的分布层面量得以在同一预测面上读取；点估计代理无法提供同样的性质。</w:t>
      </w:r>
    </w:p>
    <w:p>
      <w:pPr>
        <w:pStyle w:val="Heading2"/>
      </w:pPr>
      <w:r>
        <w:t>3.3 工程含义 / Engineering Implications</w:t>
      </w:r>
    </w:p>
    <w:p>
      <w:r>
        <w:rPr>
          <w:rFonts w:ascii="Times New Roman" w:hAnsi="Times New Roman" w:eastAsia="微软雅黑"/>
        </w:rPr>
        <w:t xml:space="preserve">The Sobol attribution separates the two main response channels. Stress is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at 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at S₁ ≈ 0.74. First-order cross-coupling between the two channels is limited. On the BNN response surface, narrowing the input spread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acts on the largest single first-order contribution to stress variability. Narrowing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does the same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two leading factors act on different outputs and interact weakly at the first-order level. Stress-margin and reactivity-stability characterisation can therefore be approached as separable problems, rather than as a single coupled optimisation.</w:t>
      </w:r>
    </w:p>
    <w:p>
      <w:r>
        <w:rPr>
          <w:rFonts w:ascii="Times New Roman" w:hAnsi="Times New Roman" w:eastAsia="微软雅黑"/>
        </w:rPr>
        <w:t xml:space="preserve">Sobol 归因把两条主要响应通道分开。应力由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0.74；一阶层面的交叉作用有限。在 BNN 响应面上，缩小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的输入分布作用于应力一阶变异中最大的单一贡献；缩小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的输入分布对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起到同样作用。两个主控因子分别作用于不同输出，且在一阶层面交互较弱。因此应力裕量与反应性稳定性的材料表征可作为可分问题分别处理，而非单一耦合优化。</w:t>
      </w:r>
    </w:p>
    <w:p>
      <w:r>
        <w:rPr>
          <w:rFonts w:ascii="Times New Roman" w:hAnsi="Times New Roman" w:eastAsia="微软雅黑"/>
        </w:rPr>
        <w:t>The posterior-calibration component lifts this picture from a one-shot characterisation to a sequential workflow. Prior forward analysis on the surrogate first maps the parameter–response relation at the population level. Once new measurement-like information becomes available, observation-conditioned calibration then contracts the inferred parameter distribution toward observation-compatible regions. Both passes operate on the same BNN posterior predictive distribution. Repeated tightening of material characterisation can therefore be folded back into the same coupled probabilistic analysis, without rebuilding or retuning the underlying model. We read these consequences as model-driven indications of where material-level uncertainty reduction is most informative for the coupled response, and of how that information can be incorporated. They are not design directives. They also do not substitute for verification on the high-fidelity solver.</w:t>
      </w:r>
    </w:p>
    <w:p>
      <w:r>
        <w:rPr>
          <w:rFonts w:ascii="Times New Roman" w:hAnsi="Times New Roman" w:eastAsia="微软雅黑"/>
        </w:rPr>
        <w:t>后验标定环节把上述图像由一次性表征推进为序贯工作流。代理上的先验前向分析先在分布层面刻画参数–响应关系。一旦出现新的测量类信息，观测条件标定即将所推断的参数分布收敛至与观测相容的区域。两次推断作用在同一个 BNN 后验预测分布上。对材料表征的反复收紧因此可以反复折回到同一耦合概率分析中，无需重建或重新调参底层模型。我们将这些结论视为模型驱动的提示，指示在哪里减小材料级不确定性最具信息量、又如何把这种信息纳入分析。它们不是设计指令，也不替代高保真求解器上的核验。</w:t>
      </w:r>
    </w:p>
    <w:p>
      <w:pPr>
        <w:pStyle w:val="Heading2"/>
      </w:pPr>
      <w:r>
        <w:t>3.4 计算效率 / Computational Efficiency</w:t>
      </w:r>
    </w:p>
    <w:p>
      <w:r>
        <w:rPr>
          <w:rFonts w:ascii="Times New Roman" w:hAnsi="Times New Roman" w:eastAsia="微软雅黑"/>
        </w:rP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代理每完成一次后验预测抽样（对 50 个 MC 权重样本求均值）GPU 时间为 1.29×10⁻² s。批大小 1024 时单样本推断时间为 1.34×10⁻⁵ s，吞吐量约 7.5×10⁴ 样本/s。耦合高保真求解器单案例耗时 2266 s，约 38 分钟。该数字为 3 次独立运行的均值，标准差 1.34 s；测试硬件为 AMD EPYC 9654 96 核节点，566 GB RAM，2× RTX 5090。由此得到的加速比为：单次后验预测抽样相对 HF 约 1.76×10⁵，批处理单样本推断相对 HF 约 1.69×10⁸。 20,000 样本前向 UQ 推断（不含 I/O）约需 0.3 s GPU 时间，对应顺序 HF 成本约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Three limitations bound the conclusions of this study, and one independent consistency check is reported in supplementary material rather than in the main text.</w:t>
      </w:r>
    </w:p>
    <w:p>
      <w:r>
        <w:rPr>
          <w:rFonts w:ascii="Times New Roman" w:hAnsi="Times New Roman" w:eastAsia="微软雅黑"/>
        </w:rPr>
        <w:t>以下三项限制界定了本研究结论的适用范围，另有一项独立一致性核验列于补充材料。</w:t>
      </w:r>
    </w:p>
    <w:p>
      <w:r>
        <w:rPr>
          <w:rFonts w:ascii="Times New Roman" w:hAnsi="Times New Roman" w:eastAsia="微软雅黑"/>
        </w:rPr>
        <w:t>First, the surrogate is trained on data from a single HPR design point, the MegaPower reference. All quantitative results reported here describe this design point only. They cover the coupling-induced stress compression, the Sobol attribution and the posterior contraction. Any transfer to a different geometry, fuel enrichment or operating envelope would require regenerating the coupled training set and retraining the BNN.</w:t>
      </w:r>
    </w:p>
    <w:p>
      <w:r>
        <w:rPr>
          <w:rFonts w:ascii="Times New Roman" w:hAnsi="Times New Roman" w:eastAsia="微软雅黑"/>
        </w:rPr>
        <w:t>其一，代理仅在单一 HPR 设计点（MegaPower 参考设计）的数据上训练。本文报告的所有定量结果仅描述该设计点，包括耦合引起的应力压缩、Sobol 归因与后验收缩。几何、燃料富集度或运行工况若发生变化，则需要重新生成耦合训练集并重新训练 BNN。</w:t>
      </w:r>
    </w:p>
    <w:p>
      <w:r>
        <w:rPr>
          <w:rFonts w:ascii="Times New Roman" w:hAnsi="Times New Roman" w:eastAsia="微软雅黑"/>
        </w:rPr>
        <w:t xml:space="preserve">Second, the MCMC calibration fixes four parameters at their true values: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and ν. Releasing additional parameters from this fixed set would require independent informative observations to constrain the expanded parameter space. The reported posterior contraction is therefore conditional on this four-parameter calibration scope. It is a lower bound on what fully 8-dimensional calibration could achieve once additional informative measurements become available.</w:t>
      </w:r>
    </w:p>
    <w:p>
      <w:r>
        <w:rPr>
          <w:rFonts w:ascii="Times New Roman" w:hAnsi="Times New Roman" w:eastAsia="微软雅黑"/>
        </w:rPr>
        <w:t>其二，MCMC 标定将 4 个参数固定在真实值上：</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与 ν。若从该固定集合中进一步放开参数，则需要额外的独立信息性观测来约束扩展的参数空间。因此所报告的后验收缩量以"四参数标定"为前提。它是完整 8 维标定在引入额外信息性观测后所能达到效果的下界。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is heterogeneous on feature-tail OOD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against an in-distribution global R² of 0.825. Stress, by contrast, retains R² ≥ 0.75 across all four tested feature-tail splits. The Sobol and posterior conclusions concerning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apply only within the training range of the dominant reactivity coefficient. They should not be extrapolated to tail-region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Several OOD subsets also report higher R² than their in-distribution counterparts. This anomalous pattern arises from SST inflation in the tail subset rather than from genuine improvement, and is documented in Appendix A.</w:t>
      </w:r>
    </w:p>
    <w:p>
      <w:r>
        <w:rPr>
          <w:rFonts w:ascii="Times New Roman" w:hAnsi="Times New Roman" w:eastAsia="微软雅黑"/>
        </w:rPr>
        <w:t>其三，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降至约 0.29，相对分布内整体 R² = 0.825 显著恶化。应力则在所测四个特征尾部子集上均保持 R² ≥ 0.75。因此涉及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与后验结论仅在主控反应性系数的训练范围内成立，不能外推到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尾部区域。此外，部分 OOD 子集出现 R² 高于分布内对照的异常模式。该异常源于尾部子集 SST 膨胀，而非真正的泛化改进，详见附录 A。</w:t>
      </w:r>
    </w:p>
    <w:p>
      <w:r>
        <w:rPr>
          <w:rFonts w:ascii="Times New Roman" w:hAnsi="Times New Roman" w:eastAsia="微软雅黑"/>
        </w:rPr>
        <w:t>Beyond these three limitations, all posterior summaries reported in Section 2.4 are computed on the surrogate side. These summaries cover parameter coverage and posterior-mean BNN stress against true stress. An independent high-fidelity re-evaluation of the 18 benchmark cases at their posterior-mean parameter vectors is reported in supplementary material as a consistency check. The present work does not claim a systematic surrogate-vs-HF validation beyond that check.</w:t>
      </w:r>
    </w:p>
    <w:p>
      <w:r>
        <w:rPr>
          <w:rFonts w:ascii="Times New Roman" w:hAnsi="Times New Roman" w:eastAsia="微软雅黑"/>
        </w:rPr>
        <w:t>除上述三项限制外，§2.4 报告的所有后验汇总量均在代理侧计算，包括参数覆盖率与后验均值处的 BNN 应力对真实应力。在 18 个基准案例后验均值参数向量处对耦合求解器进行的独立高保真重评估列于补充材料，用作一致性核验。本工作并未在该核验之外宣称系统性的代理对高保真验证。</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These properties enter the calculation through constitutive models for elasticity, thermal expansion and heat conduction. We selected these eight parameters because they govern the three constitutive relationships that directly control the coupled thermo-mechanical-neutronic response. Other material properties, such as fuel thermal conductivity and heat-pipe working-fluid parameters, are held fixed at their nominal values in the present study. The eight parameters are grouped by physical function into three categories.</w:t>
      </w:r>
    </w:p>
    <w:p>
      <w:r>
        <w:rPr>
          <w:rFonts w:ascii="Times New Roman" w:hAnsi="Times New Roman" w:eastAsia="微软雅黑"/>
        </w:rPr>
        <w:t>HPR 耦合仿真涉及八个材料性质。这些性质通过弹性、热膨胀与热传导的本构模型进入计算。选择这八个参数，是因为它们控制直接影响耦合热–力–中子响应的三组本构关系。其他材料性质（如燃料热导率、热管工质参数）在本研究中固定在标称值。八个参数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with nominal value 2 × 10¹¹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决定基础刚度，标称值 2 × 10¹¹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反映温度软化，标称值 −7 × 10⁷ Pa/K。泊松比 ν 表征多轴应力状态，标称值 0.31。三个参数通过广义胡克定律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with nominal value 1 × 10⁻⁵ K⁻¹.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为参考条件下的膨胀系数，标称值 1 × 10⁻⁵ K⁻¹；</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为温度依赖性，标称值 5 × 10⁻⁹ K⁻²。这两个参数具有双重角色。其一，控制热应变 ε_th = α · ΔT，即热应力的载荷源；其二，决定堆芯几何膨胀的幅度，亦是材料性质影响中子学平衡的主要路径。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This form introduces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)。该形式引入三个不确定输入。参考热导率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 1/75 W/(m·K²)。三者共同决定基体内部温度梯度，即裂变功率沉积与热应力之间的物理中间量。为与本文公开代码与数据保持一致，源代码中三者分别记作 SS316_k_ref、 SS316_T_ref 与 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the priors are summarised in Table 1. The ±10% range is a conventional uncertainty margin for manufactured stainless-steel properties and is consistent with the perturbation range used in Zhang et al. (2025, Energy). The same prior distribution is used throughout the pipeline. It serves as the sampling distribution in the forward UQ of Section 4.4, as the input domain for the Sobol analysis of Section 4.5, and as the prior in the posterior calibration of Section 4.6.</w:t>
      </w:r>
    </w:p>
    <w:p>
      <w:r>
        <w:rPr>
          <w:rFonts w:ascii="Times New Roman" w:hAnsi="Times New Roman" w:eastAsia="微软雅黑"/>
        </w:rPr>
        <w:t>全部 8 个参数赋予独立均匀先验，半宽为标称值的 10%， θ_k ~ U[0.9 θ_nom,k, 1.1 θ_nom,k]；先验汇总于表 1。±10% 区间是制造级不锈钢性质的常规不确定性裕量，与 Zhang et al. (2025, Energy) 所采用的扰动范围一致。该先验分布在全流水线中统一使用：在 §4.4 前向 UQ 中作为采样分布，在 §4.5 Sobol 分析中作为输入域，在 §4.6 后验标定中作为先验。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The iteration starts from the eight material parameters and the reference core geometry. OpenMC then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 [Zhang et al. 2024]。迭代从八个材料参数与参考堆芯几何出发。OpenMC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与空间分辨的裂变功率分布。上述结果传递给 FEniCS 热弹性模块，求解温度场、热膨胀位移与应力场。更新后的几何与温度相关材料截面反馈回 OpenMC，进入下一轮迭代。当连续迭代间最大温差低于 1 K 时判定收敛。迭代采用 0.1 的亚松弛因子以保证稳定 [Zhang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从迭代过程中保留两个精度层次。解耦单轮预测由第一轮迭代后的输出构成，此时尚未达到耦合收敛。在此节点上，FEniCS 接收 OpenMC 的初始几何功率分布，产生无反馈的热力输出。耦合稳态预测则由完全收敛后的输出构成。比较两个层次可分离多物理耦合对输出分布的影响。BNN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outputs correspond to the first iteration. They are average fuel temperature, peak fuel temperature, peak monolith temperature, peak global stress, monolith mean temperature, core height after expansion and heat-pipe wall displacement. The 8 coupled outputs correspond to the converged second iteration; they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posterior likelihood of Section 4.6 uses 5 primary outputs: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个解耦输出对应第一轮迭代，包括平均燃料温度、峰值燃料温度、峰值基体温度、峰值全局应力、基体均温、膨胀后堆芯高度与热管壁面位移。8 个耦合输出对应收敛后的第二轮迭代，在上述 7 个热力量基础上加入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。§4.6 后验似然使用 5 个主输出：耦合峰值全局应力、耦合峰值燃料温度、耦合峰值基体温度、耦合壁面位移与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validation and test sets with a fixed random seed (seed = 2026): 2029 training samples (~70%), 436 validation (~15%) and 435 test (~15%). This split is reused across all experiments to ensure reproducibility. The BNN does not resolve intermediate coupling quantities such as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2026）划分为训练集 2029 个样本（约 70%）、验证集 436 个（约 15%）与测试集 435 个（约 15%）。该划分在所有实验中复用以保证可重复性。BNN 不解析中间耦合量，如空间分辨的功率或温度场，而是直接从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A deterministic network returns a single point prediction. A BNN, by contrast, places a prior distribution over the network weights. After training, it represents knowledge of the input–output map through a posterior distribution over those weights. The resulting posterior predictive distribution serves as the common probabilistic object on which all downstream analyses operate, namely forward UQ, sensitivity attribution and MCMC calibration. The same distribution can additionally be decomposed into a weight-uncertainty (epistemic) component and an observation-noise (aleatoric) component. That decomposition is reported in the Appendix as a diagnostic of the predictive variance. It is not used to drive the main-text analyses.</w:t>
      </w:r>
    </w:p>
    <w:p>
      <w:r>
        <w:rPr>
          <w:rFonts w:ascii="Times New Roman" w:hAnsi="Times New Roman" w:eastAsia="微软雅黑"/>
        </w:rPr>
        <w:t>代理模型为贝叶斯神经网络（BNN）。确定性网络返回单点预测；BNN 则对网络权重引入先验分布。训练完成后，它通过权重的后验分布来表示输入–输出映射的知识。由此得到的后验预测分布作为下游各类分析共用的概率对象，包括前向 UQ、敏感性归因与 MCMC 标定。该分布另可分解为权重不确定性（认识论）分量与观测噪声（偶然）分量。该分解在附录中作为预测方差的诊断信息报告，不驱动正文主线分析。</w:t>
      </w:r>
    </w:p>
    <w:p>
      <w:r>
        <w:rPr>
          <w:rFonts w:ascii="Times New Roman" w:hAnsi="Times New Roman" w:eastAsia="微软雅黑"/>
        </w:rPr>
        <w:t>Architecture. The BNN uses a fully connected backbone with depth 3–8 layers, width 64–256 per layer and SiLU activation. The final layer exposes two output heads. The mean head produces μ ∈ ℝ¹⁵. The log-variance head produces log σ²_obs ∈ ℝ¹⁵, clamped to [−20, 5] for numerical stability, and models aleatoric observation noise. Before training, the 8 input parameters and 15 output targets are standardised to zero mean and unit variance using training-set statistics.</w:t>
      </w:r>
    </w:p>
    <w:p>
      <w:r>
        <w:rPr>
          <w:rFonts w:ascii="Times New Roman" w:hAnsi="Times New Roman" w:eastAsia="微软雅黑"/>
        </w:rPr>
        <w:t>架构。BNN 采用全连接主干，深度 3–8 层，每层宽度 64–256，SiLU 激活。最末层并列两个输出头。均值头输出 μ ∈ ℝ¹⁵；对数方差头输出 log σ²_obs ∈ ℝ¹⁵，限幅至 [−20, 5] 以保证数值稳定，用于建模偶然观测噪声。训练前，使用训练集统计量将 8 个输入参数与 15 个输出目标标准化为零均值、单位方差。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The prior scale σ_p is treated as a hyperparameter; the default is 1.0 and the value is Optuna-searchable. Training then produces an approximate posterior q(w) ≈ p(w | D) over the weights, where D denotes the training set. The posterior predictive distribution at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f_w，权重为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I)。先验尺度 σ_p 作为超参处理，默认值 1.0，并可经 Optuna 搜索。训练得到权重的近似后验 q(w) ≈ p(w | D)，其中 D 为训练集。新输入 θ 处的后验预测分布通过对 q(w) 边缘化得到：</w:t>
      </w:r>
    </w:p>
    <w:p>
      <w:r>
        <w:rPr>
          <w:rFonts w:ascii="Times New Roman" w:hAnsi="Times New Roman" w:eastAsia="微软雅黑"/>
        </w:rPr>
        <w:t xml:space="preserve">  p(y | θ, D) = ∫ p(y | θ, w) q(w) dw ≈ (1/M) Σ_{m=1..M} p(y | θ, w^(m))，w^(m) ~ q(w)。</w:t>
      </w:r>
    </w:p>
    <w:p>
      <w:r>
        <w:rPr>
          <w:rFonts w:ascii="Times New Roman" w:hAnsi="Times New Roman" w:eastAsia="微软雅黑"/>
        </w:rPr>
        <w:t>Inference scheme. The BNN is trained by mean-field variational inference in the Bayes-by-Backprop formulation [Blundell et al. 2015]. Each weight is endowed with an independent Gaussian variational posterior, q(w) = Π_ℓ N(μ_ℓ, softplus(ρ_ℓ)²). The variational parameters {μ_ℓ, ρ_ℓ} are optimised by maximising the ELBO with the reparameterisation gradient. The training objective is the negative evidence lower bound,</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applied so that the data term dominates early in training.</w:t>
      </w:r>
    </w:p>
    <w:p>
      <w:r>
        <w:rPr>
          <w:rFonts w:ascii="Times New Roman" w:hAnsi="Times New Roman" w:eastAsia="微软雅黑"/>
        </w:rPr>
        <w:t>推断方案。BNN 采用 Bayes-by-Backprop 形式的 mean-field 变分推断 [Blundell et al. 2015]。每个权重配备独立的高斯变分后验 q(w) = Π_ℓ N(μ_ℓ, softplus(ρ_ℓ)²)。变分参数 {μ_ℓ, ρ_ℓ} 通过最大化 ELBO 并使用重参数化梯度优化。训练目标为负证据下界，</w:t>
      </w:r>
    </w:p>
    <w:p>
      <w:r>
        <w:rPr>
          <w:rFonts w:ascii="Times New Roman" w:hAnsi="Times New Roman" w:eastAsia="微软雅黑"/>
        </w:rPr>
        <w:t xml:space="preserve">  L(φ) = − E_{q_φ(w)}[log p(D | w)] + KL[q_φ(w) ‖ p(w)]，</w:t>
      </w:r>
    </w:p>
    <w:p>
      <w:r>
        <w:rPr>
          <w:rFonts w:ascii="Times New Roman" w:hAnsi="Times New Roman" w:eastAsia="微软雅黑"/>
        </w:rPr>
        <w:t>其中 φ 为变分参数。第一项为训练集上的异方差高斯负对数似然。第二项把 q(w) 向先验正则化。训练采用 KL 退火，使数据项在训练前期占主导。</w:t>
      </w:r>
    </w:p>
    <w:p>
      <w:r>
        <w:rPr>
          <w:rFonts w:ascii="Times New Roman" w:hAnsi="Times New Roman" w:eastAsia="微软雅黑"/>
        </w:rPr>
        <w:t>Predictive mean and variance. At inference, M = 50 weight samples w^(m) ~ q(w) are drawn. Sobol analysis uses M = 30 and the MCMC likelihood uses M = 20, both for computational efficiency, since each of those analyses already carries its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[observation-noise] + (1/M) Σ_m (μ_{j,w^(m)}(θ) − μ̂_j(θ))²        [weight-uncertainty].</w:t>
      </w:r>
    </w:p>
    <w:p>
      <w:r>
        <w:rPr>
          <w:rFonts w:ascii="Times New Roman" w:hAnsi="Times New Roman" w:eastAsia="微软雅黑"/>
        </w:rPr>
        <w:t>The 90% predictive interval is constructed from the empirical 5th and 95th percentiles of the M predictive draws per output. The two terms in Var̂_j(θ) provide an aleatoric/epistemic decomposition of the predictive variance, reported as a diagnostic in the Appendix. The main-text analyses use the full posterior predictive distribution, not either component in isolation.</w:t>
      </w:r>
    </w:p>
    <w:p>
      <w:r>
        <w:rPr>
          <w:rFonts w:ascii="Times New Roman" w:hAnsi="Times New Roman" w:eastAsia="微软雅黑"/>
        </w:rPr>
        <w:t>预测均值与方差。推断时抽取 M = 50 个权重样本 w^(m) ~ q(w)。Sobol 分析使用 M = 30，MCMC 似然使用 M = 20，皆为兼顾效率，且两者本身已含大量蒙特卡洛平均。输入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[观测噪声] + (1/M) Σ_m (μ_{j,w^(m)}(θ) − μ̂_j(θ))²        [权重不确定性]。</w:t>
      </w:r>
    </w:p>
    <w:p>
      <w:r>
        <w:rPr>
          <w:rFonts w:ascii="Times New Roman" w:hAnsi="Times New Roman" w:eastAsia="微软雅黑"/>
        </w:rPr>
        <w:t>90% 预测区间由每个输出的 M 个预测样本的第 5–95 百分位得到。Var̂_j(θ) 中的两项给出预测方差的偶然/认识论分解，作为附录中的诊断信息报告。正文主线分析使用完整的后验预测分布，而非其中任一单独分量。</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on validation ELBO; the early-stopping patience was 25–30 epochs and the minimum improvement was 10⁻⁶. The final checkpoint was selected as the trial with the lowest validation posterior-predictive NLL. All models used the Adam optimiser and Xavier uniform initialisation of the variational mean parameters.</w:t>
      </w:r>
    </w:p>
    <w:p>
      <w:r>
        <w:rPr>
          <w:rFonts w:ascii="Times New Roman" w:hAnsi="Times New Roman" w:eastAsia="微软雅黑"/>
        </w:rPr>
        <w:t>超参数通过 Optuna 使用 TPE 采样器与中位数剪枝独立优化。搜索空间包括深度（3–8 层）、宽度（64–256）、学习率（10⁻⁴–3 × 10⁻³）、批大小 {32, 64, 128}、梯度裁剪（0.5–5.0）、先验尺度 σ_p、变分后验初始尺度以及 KL 退火方案。训练至多 300 个 epoch，基于验证集 ELBO 早停；早停耐心为 25–30 epoch，最小改进 10⁻⁶。最终检查点选取验证集后验预测 NLL 最低的试验。所有模型使用 Adam 优化器，并以 Xavier 均匀分布初始化变分均值参数。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We draw 20,000 samples from the joint prior of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映射到输出不确定性。通过拉丁超立方采样从 §4.1 的联合先验中抽取 20,000 个样本。对每个 θ_i， BNN 返回 15 个输出的后验预测均值 μ̂(θ_i)，对 M 个权重样本边缘化。 {μ̂(θ_i)} 的经验分布即构成先验预测不确定性传播。</w:t>
      </w:r>
    </w:p>
    <w:p>
      <w:r>
        <w:rPr>
          <w:rFonts w:ascii="Times New Roman" w:hAnsi="Times New Roman" w:eastAsia="微软雅黑"/>
        </w:rPr>
        <w:t>This protocol takes y = μ̂(θ) = E_w[μ_w(θ)] as the response. It deliberately isolates parametric uncertainty from the BNN's combined epistemic and aleatoric predictive spread. The BNN's posterior predictive variance already models both the observation-noise and the weight-uncertainty contributions. Including that variance in the forward propagation, in the form y = μ̂(θ) + σ̂(θ) · ε with ε ~ N(0,1), would mix the parametric prior with the surrogate's own uncertainty. The main-text results therefore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该协议以 y = μ̂(θ) = E_w[μ_w(θ)] 为响应，有意将参数不确定性与 BNN 自身的认识论加偶然预测展宽分离。BNN 后验预测方差已同时建模观测噪声与权重不确定性。若在前向传播中包含该方差，即 y = μ̂(θ) + σ̂(θ) · ε， ε ~ N(0,1)，则会把参数先验与代理自身不确定性混合在一起。因此正文采用 μ̂-only 协议，使输出分布中的所有方差可归因于输入参数变异。带预测方差的变体在附录中作为一致性核验报告。该变体产生更宽的分布，但保留相同的定性结论。</w:t>
      </w:r>
    </w:p>
    <w:p>
      <w:r>
        <w:rPr>
          <w:rFonts w:ascii="Times New Roman" w:hAnsi="Times New Roman" w:eastAsia="微软雅黑"/>
        </w:rPr>
        <w:t>Summary statistics of {μ̂(θ_i)} are reported in Section 2.2 for the primary outputs, including the mean, the standard deviation and selected percentiles. The role of forward UQ in this work is distribution-level characterisation: how multiphysics coupling reshapes the output distribution relative to the decoupled prediction. Threshold-based exceedance statistics are not part of the main-text analysis.</w:t>
      </w:r>
    </w:p>
    <w:p>
      <w:r>
        <w:rPr>
          <w:rFonts w:ascii="Times New Roman" w:hAnsi="Times New Roman" w:eastAsia="微软雅黑"/>
        </w:rPr>
        <w:t>§2.2 报告 {μ̂(θ_i)} 的汇总统计量，包括均值、标准差与若干分位数。本文前向 UQ 的角色是分布级表征，即多物理耦合相对解耦预测如何重塑输出分布。基于阈值的超阈统计不在正文展开。</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with N_S = 4096 rows per matrix. For each input dimension i, a cross-matrix A_B^(i) is formed by replacing the i-th column of A with that of B. Each replication therefore requires N_S × (8 + 2) = 40,960 BNN posterior-predictive-mean evaluations. The BNN posterior predictive mean μ̂(θ) serves as the deterministic evaluator. The reason is the same as in forward UQ: this isolates parametric sensitivity from surrogate uncertainty.</w:t>
      </w:r>
    </w:p>
    <w:p>
      <w:r>
        <w:rPr>
          <w:rFonts w:ascii="Times New Roman" w:hAnsi="Times New Roman" w:eastAsia="微软雅黑"/>
        </w:rPr>
        <w:t>采用 Saltelli 准随机采样方案与 Jansen 估计量估计指数。从先验中抽取两个独立的 N_S × 8 矩阵 A 与 B，每矩阵 N_S = 4096 行。对每个输入维度 i，将 A 的第 i 列替换为 B 的第 i 列，形成交叉矩阵 A_B^(i)。每次重复因此需要 N_S × (8 + 2) = 40,960 次 BNN 后验预测均值评估。BNN 后验预测均值 μ̂(θ) 充当确定性评估器；原因与前向 UQ 相同，即将参数敏感性与代理自身不确定性分离。</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treated as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次重复的标准误差。仅当 90% CI 下界严格大于零时，对应因子才视为稳定贡献者。CI 包含零的因子无论点估计值如何，均不解释为有意义的贡献者。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It quantifies how much parameter uncertainty can be reduced by measurement-like information. Let π(θ) denote the prior and p(y_obs | θ) the likelihood induced by the BNN posterior predictive mean and the observation-noise model. The posterior over calibrated parameters is then</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It is used downstream as an updated parameter distribution and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后验标定使用贝叶斯推断在给定观测耦合输出的条件下更新先验参数分布，量化类测量信息可以减少多少参数不确定性。记先验为 π(θ)，由 BNN 后验预测均值与观测噪声模型共同给出的似然为 p(y_obs | θ)。标定参数的后验即为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表示。下游将其作为更新后的参数分布使用，并可针对任意感兴趣输出经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The subset was chosen on the basis of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collectively account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and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与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与 ν 固定在真实测试案例值上。固定它们是一种简化，假定它们可被独立测量。若将该假设放松为完整 8 维标定，则需要额外的独立观测以约束扩展的参数空间。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
        <w:rPr>
          <w:rFonts w:ascii="Times New Roman" w:hAnsi="Times New Roman" w:eastAsia="微软雅黑"/>
        </w:rPr>
        <w:t>基准案例从留出测试集中抽取，确保 BNN 在训练中未见过真实参数–输出对。通过在三个应力带中分层采样共选取 18 个基准案例：低应力、中应力、高应力各 6 例。该分层旨在覆盖代理的运行范围，而非用于评估任何基于阈值的接受准则。</w:t>
      </w:r>
    </w:p>
    <w:p>
      <w:r>
        <w:rPr>
          <w:rFonts w:ascii="Times New Roman" w:hAnsi="Times New Roman" w:eastAsia="微软雅黑"/>
        </w:rPr>
        <w:t xml:space="preserve">For each benchmark case, the "observations" are the true HF outputs of 5 primary coupled quantities, corrupted by 2% multiplicative Gaussian noise. The five quantities are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noise model is y_obs = y_true + ε with ε ~ N(0, (0.02 × |y_true|)²). This noise level simulates realistic measurement uncertainty.</w:t>
      </w:r>
    </w:p>
    <w:p>
      <w:r>
        <w:rPr>
          <w:rFonts w:ascii="Times New Roman" w:hAnsi="Times New Roman" w:eastAsia="微软雅黑"/>
        </w:rPr>
        <w:t xml:space="preserve">对每个基准案例，"观测"为 5 个主耦合输出的真实 HF 值加 2% 乘性高斯噪声。五个输出量为峰值全局应力、峰值燃料温度、峰值基体温度、壁面位移与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。噪声模型为 y_obs = y_true + ε，ε ~ N(0, (0.02 × |y_true|)²)。该噪声水平模拟实际测量不确定性。</w:t>
      </w:r>
    </w:p>
    <w:p>
      <w:r>
        <w:rPr>
          <w:rFonts w:ascii="Times New Roman" w:hAnsi="Times New Roman" w:eastAsia="微软雅黑"/>
        </w:rPr>
        <w:t>The posterior is sampled using Metropolis-Hastings MCMC. Each case is run with 4 independent chains. Each chain is initialised from a different random draw from the prior, so that a Gelman-Rubin convergence diagnostic can be computed. The proposal distribution is a Gaussian centred at the current state, with per-parameter scale 0.40 × σ_prior; σ_prior denotes the prior standard deviation. Each chain runs for 8000 iterations. The first 2000 are discarded as burn-in, and every 5th sample is retained thereafter. This yields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σ_prior，其中 σ_prior 为先验标准差。每条链运行 8000 步迭代。前 2000 步作为烧入期丢弃，其后每 5 步保留 1 个样本。由此每条链得到 1200 个后验样本，合并后每个案例共 4800 个。候选参数向量 θ* 的对数似然以 BNN 后验预测均值 μ̂_j(θ*)（已对权重样本边缘化）作为前向模型代理：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observation-noise standard deviation. Acceptance rates across the 18 benchmark cases are reported in Section 2.4. Convergence is assessed primarily by the Gelman-Rubin statistic R̂ across the 4 chains per case, supplemented by trace-plot inspection in Fig. A1. A case is judged converged when R̂ &lt; 1.1 for every calibrated parameter. Detailed per-case R̂ values are reported in Appendix F.</w:t>
      </w:r>
    </w:p>
    <w:p>
      <w:r>
        <w:rPr>
          <w:rFonts w:ascii="Times New Roman" w:hAnsi="Times New Roman" w:eastAsia="微软雅黑"/>
        </w:rPr>
        <w:t>其中 σ_obs,j = 0.02 × |y_true,j| 为观测噪声标准差。18 个基准案例的接受率在 §2.4 报告。收敛以每案例 4 链的 Gelman-Rubin 统计量 R̂ 为主评估，并以图 A1 中的 trace plot 作为辅助。当所有标定参数 R̂ &lt; 1.1 时该案例判为收敛。逐案例 R̂ 详见附录 F。</w:t>
      </w:r>
    </w:p>
    <w:p>
      <w:r>
        <w:rPr>
          <w:rFonts w:ascii="Times New Roman" w:hAnsi="Times New Roman" w:eastAsia="微软雅黑"/>
        </w:rPr>
        <w:t>Posterior summaries reported in Section 2.4 are computed entirely on the surrogate side from {θ^(m)}_{m=1}^{M}. They consist of the parameter-marginal 90% coverage and the posterior-mean BNN stress against the true stress. An independent high-fidelity consistency check re-evaluates the coupled solver at the posterior-mean parameter vectors and is documented in the supplementary material. That check is an out-of-pipeline verification, not part of the calibration loop. It is not claimed as a systematic validation of surrogate generalisation.</w:t>
      </w:r>
    </w:p>
    <w:p>
      <w:r>
        <w:rPr>
          <w:rFonts w:ascii="Times New Roman" w:hAnsi="Times New Roman" w:eastAsia="微软雅黑"/>
        </w:rPr>
        <w:t>§2.4 报告的后验汇总量完全在代理侧由 {θ^(m)}_{m=1}^{M} 计算，包括参数边际 90% 覆盖率与后验均值处的 BNN 应力对真实应力。一项独立的高保真一致性核验在后验均值参数向量处重评估耦合求解器，归档于补充材料。该核验是脱离标定流水线的外部抽查，并非标定回路的一部分，也不构成对代理泛化能力的系统性验证。</w:t>
      </w:r>
    </w:p>
    <w:p>
      <w:pPr>
        <w:pStyle w:val="Heading1"/>
      </w:pPr>
      <w:r>
        <w:t>5. 结论 / Conclusion</w:t>
      </w:r>
    </w:p>
    <w:p>
      <w:r>
        <w:rPr>
          <w:rFonts w:ascii="Times New Roman" w:hAnsi="Times New Roman" w:eastAsia="微软雅黑"/>
        </w:rPr>
        <w:t xml:space="preserve">This work demonstrates that a single Bayesian neural-network posterior predictive distribution, trained on coupled OpenMC–FEniCS data, can act as the common probabilistic object across the three analyses that a coupled multiphysics design study typically demands separately. Forward Monte Carlo on the surrogate recovers the qualitative effect that two-way coupling reshapes the stress distribution and damps its variability relative to a decoupled prediction; Sobol attribution with bootstrap intervals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respond to largely separate parameter channels, so the two observables carry non-redundant information for inverse work; and MCMC calibration contracts the inferred material parameters into observation-compatible regions with 90% coverage </w:t>
      </w:r>
      <w:r>
        <w:rPr>
          <w:rFonts w:ascii="Times New Roman" w:hAnsi="Times New Roman" w:eastAsia="微软雅黑"/>
          <w:b/>
          <w:color w:val="CC0000"/>
        </w:rPr>
        <w:t>【x】</w:t>
      </w:r>
      <w:r>
        <w:rPr>
          <w:rFonts w:ascii="Times New Roman" w:hAnsi="Times New Roman" w:eastAsia="微软雅黑"/>
        </w:rPr>
        <w:t xml:space="preserve"> across 18 test-split benchmarks, while the posterior-mean BNN stress tracks the true high-fidelity stress at MAE </w:t>
      </w:r>
      <w:r>
        <w:rPr>
          <w:rFonts w:ascii="Times New Roman" w:hAnsi="Times New Roman" w:eastAsia="微软雅黑"/>
          <w:b/>
          <w:color w:val="CC0000"/>
        </w:rPr>
        <w:t>【x】</w:t>
      </w:r>
      <w:r>
        <w:rPr>
          <w:rFonts w:ascii="Times New Roman" w:hAnsi="Times New Roman" w:eastAsia="微软雅黑"/>
        </w:rPr>
        <w:t xml:space="preserve"> MPa over the 133–194 MPa range spanned by these cases. Because the surrogate is roughly five orders of magnitude cheaper per evaluation than a coupled high-fidelity solve, the entire workflow — forward UQ, sensitivity, and posterior calibration — runs end-to-end on a single workstation. The construction described here is therefore less a benchmark on any one number than a coupled-multiphysics probabilistic computational layer: a posterior-predictive surrogate sitting between the high-fidelity solver and the standard probabilistic-analysis pipeline turns operations that were previously gated by repeated coupled solves into routine ones, and the same layer is expected to apply to other coupled multiphysics systems where uncertainty, sensitivity and calibration are currently handled in isolation.</w:t>
      </w:r>
    </w:p>
    <w:p>
      <w:r>
        <w:rPr>
          <w:rFonts w:ascii="Times New Roman" w:hAnsi="Times New Roman" w:eastAsia="微软雅黑"/>
        </w:rPr>
        <w:t xml:space="preserve">本文表明，基于耦合 OpenMC–FEniCS 数据训练的单一贝叶斯神经网络后验预测分布，可作为耦合多物理设计研究中通常分别处理的三类分析所共享的概率对象。代理上的前向蒙特卡洛复现了双向耦合改变应力分布形状并抑制其变异性这一定性效应；带 Bootstrap 置信区间的 Sobol 归因显示，应力与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由基本分离的参数通道驱动，两类观测量在反演中并不互为冗余；在 18 例取自留出测试集的基准情形上，MCMC 后验标定将材料参数收敛至与观测相容的区域，90% 覆盖率为 </w:t>
      </w:r>
      <w:r>
        <w:rPr>
          <w:rFonts w:ascii="Times New Roman" w:hAnsi="Times New Roman" w:eastAsia="微软雅黑"/>
          <w:b/>
          <w:color w:val="CC0000"/>
        </w:rPr>
        <w:t>【x】</w:t>
      </w:r>
      <w:r>
        <w:rPr>
          <w:rFonts w:ascii="Times New Roman" w:hAnsi="Times New Roman" w:eastAsia="微软雅黑"/>
        </w:rPr>
        <w:t xml:space="preserve">，后验均值 BNN 应力与真实高保真应力的 MAE 为 </w:t>
      </w:r>
      <w:r>
        <w:rPr>
          <w:rFonts w:ascii="Times New Roman" w:hAnsi="Times New Roman" w:eastAsia="微软雅黑"/>
          <w:b/>
          <w:color w:val="CC0000"/>
        </w:rPr>
        <w:t>【x】</w:t>
      </w:r>
      <w:r>
        <w:rPr>
          <w:rFonts w:ascii="Times New Roman" w:hAnsi="Times New Roman" w:eastAsia="微软雅黑"/>
        </w:rPr>
        <w:t xml:space="preserve"> MPa，覆盖基准情形 133–194 MPa 应力范围。由于代理单次评估的代价较耦合高保真求解低约五个数量级，前向 UQ、敏感性与后验标定整套流程可在单台工作站上端到端运行。本文所给出的，与其说是某一个数字上的基准，不如说是一层耦合多物理的概率计算结构：把后验预测代理放在高保真求解器与标准概率分析流水线之间，原本受制于反复耦合求解的操作转化为常规操作；同一结构有望适用于其他目前仍把不确定性、敏感性与标定分开处理的耦合多物理系统。</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R² / PICP₉₀ / MPIW₉₀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