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2026-04-15 01:30</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We develop a constraint-regularized probabilistic surrogate for uncertainty-to-risk analysis in safety-critical coupled multi-physics systems, demonstrated on a heat-pipe-cooled reactor (HPR) with fully coupled neutronics–thermal–structural feedback. A heteroscedastic multilayer perceptron, trained on 2900 coupled OpenMC-FEniCS simulations with physics-consistent monotonicity and inequality constraints, maps 8 uncertain material parameters to predictive distributions over 15 coupled outputs, achieving stress R² = 0.929 and 90%-prediction-interval coverage of 0.947 on the held-out test set. Forward propagation of 20,000 prior samples indicates that multi-physics coupling reduces the stress standard deviation by 29% relative to the decoupled prediction. Sobol analysis identifies E_intercept (S₁ = 0.586) and α_base (S₁ = 0.775) as dominant drivers of stress and keff, respectively, through largely independent pathways. MCMC calibration on 18 benchmark cases yields 87.5% posterior 90%-CI coverage and stratifies exceedance risk at the 131 MPa design-screening threshold. The surrogate operates at a batched per-sample latency of 1.7 × 10⁻⁷ s, ~10¹⁰ faster than the coupled solver.</w:t>
      </w:r>
    </w:p>
    <w:p>
      <w:r>
        <w:rPr>
          <w:rFonts w:ascii="Times New Roman" w:hAnsi="Times New Roman" w:eastAsia="微软雅黑"/>
        </w:rPr>
        <w:t>本文面向安全敏感的耦合多物理系统中的不确定性–风险分析，构建了一套约束正则化概率代理建模框架，并以具备完整中子–热–力耦合反馈的热管冷却反应堆（HPR）作为工程验证对象。该代理模型采用异方差多层感知机，基于 2900 组耦合 OpenMC–FEniCS 仿真样本训练，嵌入物理一致的单调性与不等式约束，实现从 8 个材料不确定性输入到 15 个耦合输出概率分布的映射。测试集上，耦合稳态应力预测达到 R² = 0.929，90% 预测区间覆盖率 0.947。对 20,000 个先验样本的前向传播表明，多物理耦合使应力标准差相对于解耦预测降低 29%。 Sobol 分析识别 E_intercept（S₁ = 0.586）和 α_base（S₁ = 0.775）分别为应力和 keff 的主控因子，作用路径基本独立。基于 MCMC 的后验标定在 18 个基准案例上获得 87.5% 的 90%-CI 覆盖率，并在 131 MPa 设计筛选阈值处分层评估超阈风险。代理模型 GPU 批处理单样本延迟 1.7 × 10⁻⁷ s，较耦合求解器快约 10¹⁰ 倍。</w:t>
      </w:r>
    </w:p>
    <w:p>
      <w:pPr>
        <w:pStyle w:val="Heading1"/>
      </w:pPr>
      <w:r>
        <w:t>1. 引言 / Introduction</w:t>
      </w:r>
    </w:p>
    <w:p>
      <w:r>
        <w:rPr>
          <w:rFonts w:ascii="Times New Roman" w:hAnsi="Times New Roman" w:eastAsia="微软雅黑"/>
          <w:i/>
          <w:color w:val="0055AA"/>
          <w:sz w:val="20"/>
        </w:rPr>
        <w:t>[第一段：对象与科学问题——耦合反馈使不确定性分析成为核心计算问题]</w:t>
      </w:r>
    </w:p>
    <w:p>
      <w:r>
        <w:rPr>
          <w:rFonts w:ascii="Times New Roman" w:hAnsi="Times New Roman" w:eastAsia="微软雅黑"/>
        </w:rPr>
        <w:t>Heat-pipe-cooled reactors (HPRs) are compact systems in which heat pipes, fuel rods, and the surrounding structural matrix are tightly integrated within the core (McClure et al. 2015). In such systems, neutronics, heat transfer, and structural deformation are coupled through feedback rather than arranged in a one-way sequence: temperature fields drive thermal expansion and stress, while geometry changes induced by thermal expansion modify neutron leakage and power distribution. As a consequence, uncertainty in material properties propagates through a closed neutronics–thermal–structural loop, and coupled uncertainty transmission — rather than single-field prediction — becomes the central scientific problem.</w:t>
      </w:r>
    </w:p>
    <w:p>
      <w:r>
        <w:rPr>
          <w:rFonts w:ascii="Times New Roman" w:hAnsi="Times New Roman" w:eastAsia="微软雅黑"/>
        </w:rPr>
        <w:t>热管冷却反应堆（HPR）是一类将热管、燃料棒和结构基体紧凑集成于堆芯的微型反应堆（McClure et al. 2015）。在此类系统中，中子学、热工和结构变形不是单向串联，而是通过反馈相互耦合：温度场驱动基体热膨胀与应力演化，而热膨胀引起的几何变化又会改变中子泄漏和功率分布。这一闭合的中子–热–力反馈回路使材料属性不确定性的传播过程无法在各物理域间独立处理，因此耦合条件下的不确定性传递——而非单场预测——构成本问题的核心科学挑战。</w:t>
      </w:r>
    </w:p>
    <w:p>
      <w:r>
        <w:rPr>
          <w:rFonts w:ascii="Times New Roman" w:hAnsi="Times New Roman" w:eastAsia="微软雅黑"/>
          <w:i/>
          <w:color w:val="0055AA"/>
          <w:sz w:val="20"/>
        </w:rPr>
        <w:t>[第二段：已有工作与尚存空白]</w:t>
      </w:r>
    </w:p>
    <w:p>
      <w:r>
        <w:rPr>
          <w:rFonts w:ascii="Times New Roman" w:hAnsi="Times New Roman" w:eastAsia="微软雅黑"/>
        </w:rPr>
        <w:t>Recent studies have established several components of this multiphysics picture. High-fidelity OpenMC–FEniCS workflows have been used to obtain converged coupled solutions for megawatt-scale heat-pipe reactors (Zhang et al. 2024), and data-driven surrogates have been explored for design optimization (Zhang et al. 2025) and preliminary uncertainty analysis under coupling (Chen et al. 2025). However, these efforts stop short of providing a unified probabilistic computational layer that supports — within a single coupled framework — fast prediction, forward uncertainty propagation, global sensitivity attribution, and observation-conditioned risk updating. Closing this gap is what the present work addresses.</w:t>
      </w:r>
    </w:p>
    <w:p>
      <w:r>
        <w:rPr>
          <w:rFonts w:ascii="Times New Roman" w:hAnsi="Times New Roman" w:eastAsia="微软雅黑"/>
        </w:rPr>
        <w:t>已有研究为上述多物理图景提供了若干构件：高保真 OpenMC–FEniCS 工作流已用于兆瓦级热管反应堆的耦合收敛求解（Zhang et al. 2024），数据驱动代理则被用于设计优化（Zhang et al. 2025）与耦合条件下的初步不确定性分析（Chen et al. 2025）。然而，这些工作尚未在同一耦合框架内提供一个统一的概率计算层，以同时支撑快速预测、前向不确定性传播、全局敏感性归因和观测条件下的风险更新。本文即针对这一空白展开。</w:t>
      </w:r>
    </w:p>
    <w:p>
      <w:r>
        <w:rPr>
          <w:rFonts w:ascii="Times New Roman" w:hAnsi="Times New Roman" w:eastAsia="微软雅黑"/>
          <w:i/>
          <w:color w:val="0055AA"/>
          <w:sz w:val="20"/>
        </w:rPr>
        <w:t>[第三段：耦合系统中不确定性的作用路径]</w:t>
      </w:r>
    </w:p>
    <w:p>
      <w:r>
        <w:rPr>
          <w:rFonts w:ascii="Times New Roman" w:hAnsi="Times New Roman" w:eastAsia="微软雅黑"/>
        </w:rPr>
        <w:t>The gap matters because uncertainty in HPRs does not act through a single pathway. Variations in thermal conductivity alter temperature gradients across the matrix and thereby affect thermal stress through the constitutive dependence σ ∝ E · α · ΔT. Variations in the thermal expansion coefficient alter core geometry under heating, which shifts neutron leakage and reactivity and then feeds back into thermal loading and structural response. The same uncertain parameter may therefore influence multiple outputs through different mechanisms, and coupled feedback may either amplify or attenuate the net response uncertainty.</w:t>
      </w:r>
    </w:p>
    <w:p>
      <w:r>
        <w:rPr>
          <w:rFonts w:ascii="Times New Roman" w:hAnsi="Times New Roman" w:eastAsia="微软雅黑"/>
        </w:rPr>
        <w:t>这一空白之所以重要，是因为 HPR 中的不确定性并非沿单一路径作用。热导率扰动会改变基体内温度梯度，并经由本构关系 σ ∝ E · α · ΔT 影响热应力；热膨胀系数扰动则在加热状态下改变堆芯几何，引起中子泄漏与反应性变化，再反馈至热载荷和结构响应。同一不确定参数可经由不同机制同时影响多个输出量，而耦合反馈则可能放大或衰减净响应不确定性。</w:t>
      </w:r>
    </w:p>
    <w:p>
      <w:r>
        <w:rPr>
          <w:rFonts w:ascii="Times New Roman" w:hAnsi="Times New Roman" w:eastAsia="微软雅黑"/>
          <w:i/>
          <w:color w:val="0055AA"/>
          <w:sz w:val="20"/>
        </w:rPr>
        <w:t>[第四段：工程风险锚点与阈值——131 MPa 作为设计筛选阈值]</w:t>
      </w:r>
    </w:p>
    <w:p>
      <w:r>
        <w:rPr>
          <w:rFonts w:ascii="Times New Roman" w:hAnsi="Times New Roman" w:eastAsia="微软雅黑"/>
        </w:rPr>
        <w:t>From an engineering perspective, the relevant question is not only how the coupled system responds at a nominal point but how uncertainty in material parameters translates into structural risk. Prior analyses of compact heat-pipe-cooled designs have reported peak stresses on the order of 170 MPa under nominal operating conditions (Zhang et al. 2025), indicating that stress is a practically important response quantity in this class of systems. This motivates risk-oriented uncertainty analysis against an adopted design-screening stress threshold, here taken as 131 MPa.</w:t>
      </w:r>
    </w:p>
    <w:p>
      <w:r>
        <w:rPr>
          <w:rFonts w:ascii="Times New Roman" w:hAnsi="Times New Roman" w:eastAsia="微软雅黑"/>
        </w:rPr>
        <w:t>从工程角度，关键问题不仅是耦合系统在标称工况下如何响应，还包括材料参数不确定性如何转化为结构风险。已有分析在紧凑型热管冷却设计的标称工况下报告过约 170 MPa 量级的峰值应力（Zhang et al. 2025），说明应力在该类系统中是具有工程意义的响应量。这一现象促使在一个选定的设计筛选应力阈值下开展风险导向的不确定性分析，本文取该阈值为 131 MPa。</w:t>
      </w:r>
    </w:p>
    <w:p>
      <w:r>
        <w:rPr>
          <w:rFonts w:ascii="Times New Roman" w:hAnsi="Times New Roman" w:eastAsia="微软雅黑"/>
          <w:i/>
          <w:color w:val="0055AA"/>
          <w:sz w:val="20"/>
        </w:rPr>
        <w:t>[第五段：高保真直接评估的计算瓶颈]</w:t>
      </w:r>
    </w:p>
    <w:p>
      <w:r>
        <w:rPr>
          <w:rFonts w:ascii="Times New Roman" w:hAnsi="Times New Roman" w:eastAsia="微软雅黑"/>
        </w:rPr>
        <w:t>A direct solution based on repeated high-fidelity evaluation is computationally prohibitive. In the current coupled workflow, each OpenMC–FEniCS simulation requires on the order of 10³ seconds on a dedicated compute node, with neutronics accounting for the majority of the runtime. Forward Monte Carlo propagation over the 8-dimensional material-parameter space with O(10⁴) samples, and Bayesian posterior calibration requiring comparable numbers of likelihood evaluations, are therefore infeasible at the high-fidelity level. What is required is not merely a faster point-wise regressor but a computational layer that bridges expensive coupled simulation to large-scale probabilistic analysis.</w:t>
      </w:r>
    </w:p>
    <w:p>
      <w:r>
        <w:rPr>
          <w:rFonts w:ascii="Times New Roman" w:hAnsi="Times New Roman" w:eastAsia="微软雅黑"/>
        </w:rPr>
        <w:t>直接基于高保真重复求解的风险评估在计算上不具可行性：当前耦合工作流中，每次 OpenMC–FEniCS 求解在专用节点上约需 10³ 秒，其中中子学计算占主要份额。在 8 维材料参数空间上开展 O(10⁴) 样本的前向蒙特卡洛传播，以及需要相近量级似然评估的贝叶斯后验标定，均在高保真层面不可行。因此所需的并非一个更快的逐点回归器，而是一个将昂贵耦合仿真与大规模概率分析相衔接的计算层。</w:t>
      </w:r>
    </w:p>
    <w:p>
      <w:r>
        <w:rPr>
          <w:rFonts w:ascii="Times New Roman" w:hAnsi="Times New Roman" w:eastAsia="微软雅黑"/>
          <w:i/>
          <w:color w:val="0055AA"/>
          <w:sz w:val="20"/>
        </w:rPr>
        <w:t>[第六段：已有代理方法的边界]</w:t>
      </w:r>
    </w:p>
    <w:p>
      <w:r>
        <w:rPr>
          <w:rFonts w:ascii="Times New Roman" w:hAnsi="Times New Roman" w:eastAsia="微软雅黑"/>
        </w:rPr>
        <w:t>Standard surrogate approaches address this need only partially. Gaussian-process and polynomial-chaos methods become increasingly constrained in strongly nonlinear, moderately high-dimensional settings. Physics-informed neural networks are difficult to formulate for an iterative coupled workflow whose governing structure is expressed through converged solver exchange rather than a single closed residual form. Purely data-driven neural surrogates scale more naturally but, without predictive calibration and physical-consistency constraints, they may remain unreliable for downstream risk analysis.</w:t>
      </w:r>
    </w:p>
    <w:p>
      <w:r>
        <w:rPr>
          <w:rFonts w:ascii="Times New Roman" w:hAnsi="Times New Roman" w:eastAsia="微软雅黑"/>
        </w:rPr>
        <w:t>常规代理方法仅能部分满足上述需求：高斯过程与多项式混沌方法在强非线性、中高维设置下受维度与光滑性假设限制；物理信息神经网络难以直接写为单一残差形式，因为本问题的控制结构由迭代求解器之间的收敛交换所表达；而纯数据驱动神经代理虽具良好扩展性，但在缺乏预测区间校准与物理一致性约束的情况下，对下游风险分析的可靠性仍不充分。</w:t>
      </w:r>
    </w:p>
    <w:p>
      <w:r>
        <w:rPr>
          <w:rFonts w:ascii="Times New Roman" w:hAnsi="Times New Roman" w:eastAsia="微软雅黑"/>
          <w:i/>
          <w:color w:val="0055AA"/>
          <w:sz w:val="20"/>
        </w:rPr>
        <w:t>[第七段：本文做了什么——约束正则化概率代理与端到端不确定性–风险管线]</w:t>
      </w:r>
    </w:p>
    <w:p>
      <w:r>
        <w:rPr>
          <w:rFonts w:ascii="Times New Roman" w:hAnsi="Times New Roman" w:eastAsia="微软雅黑"/>
        </w:rPr>
        <w:t>In this work, we develop a constraint-regularized heteroscedastic probabilistic surrogate for uncertainty-to-risk analysis in a coupled neutronics–thermal– structural system, demonstrated on a heat-pipe-cooled reactor. The surrogate is trained on coupled OpenMC–FEniCS data and predicts both response means and predictive uncertainties for multiple physics outputs. To preserve physical consistency, monotonicity and inequality structure are introduced as differentiable regularization terms during training. On this basis, we construct an end-to-end uncertainty-to-risk workflow that combines forward Monte Carlo propagation, Sobol sensitivity analysis with confidence intervals, and MCMC-based posterior calibration. The main contributions of this work are threefold: (1) a constraint-regularized heteroscedastic probabilistic surrogate that jointly predicts means and calibrated predictive intervals for the coupled outputs; (2) a physics-consistent training objective that encodes monotonicity and inequality constraints as gradient penalties without modifying the base network capacity; and (3) an end-to-end uncertainty-to-risk pipeline — forward Monte Carlo propagation, Sobol sensitivity with bootstrap confidence intervals, and MCMC posterior calibration — unified within a single probabilistic surrogate layer. In this formulation, the contribution is not merely a surrogate for HPR response prediction, but a probabilistic computational framework for translating expensive coupled multiphysics simulation into tractable, risk-oriented analysis in safety-critical coupled systems.</w:t>
      </w:r>
    </w:p>
    <w:p>
      <w:r>
        <w:rPr>
          <w:rFonts w:ascii="Times New Roman" w:hAnsi="Times New Roman" w:eastAsia="微软雅黑"/>
        </w:rPr>
        <w:t>本文面向耦合中子–热–力系统，构建了一种约束正则化异方差概率代理模型，并以热管冷却反应堆作为工程验证对象。代理模型以耦合 OpenMC–FEniCS 数据训练，对多个物理输出同时预测均值与预测不确定性；为保持物理一致性，训练过程以可微正则化项的形式嵌入单调性与不等式约束。在此基础上，本文构建了一个端到端的不确定性–风险分析管线，联合前向蒙特卡洛传播、带置信区间的 Sobol 敏感性分析和 MCMC 后验标定。主要贡献可概括为三点：（1）提出一种约束正则化异方差概率代理模型，对耦合输出同时给出均值与经校准的预测区间；（2）构建物理一致的训练目标，将单调性与不等式约束以梯度惩罚形式嵌入，不改变基础网络容量；（3）在单一概率代理层内统一完成前向蒙特卡洛传播、带 Bootstrap 置信区间的 Sobol 敏感性分析与 MCMC 后验标定，形成端到端的不确定性–风险分析管线。本文的价值因此不止于为 HPR 响应提供一个代理，而在于为安全敏感的耦合多物理系统给出一个将昂贵耦合仿真转译为可行风险导向分析的概率计算框架。</w:t>
      </w:r>
    </w:p>
    <w:p>
      <w:pPr>
        <w:pStyle w:val="Heading1"/>
      </w:pPr>
      <w:r>
        <w:t>2. 结果 / Results</w:t>
      </w:r>
    </w:p>
    <w:p>
      <w:pPr>
        <w:pStyle w:val="Heading2"/>
      </w:pPr>
      <w:r>
        <w:t>2.1 代理精度 / Surrogate Accuracy</w:t>
      </w:r>
    </w:p>
    <w:p>
      <w:r>
        <w:rPr>
          <w:rFonts w:ascii="Times New Roman" w:hAnsi="Times New Roman" w:eastAsia="微软雅黑"/>
        </w:rPr>
        <w:t>The constraint-regularized surrogate is a heteroscedastic MLP whose training objective incorporates physics-consistent monotonicity and inequality gradient penalties; the architecture and loss function are detailed in Methods. The surrogate was evaluated on the held-out test set (n = 435). For the primary safety metric, coupled steady-state maximum global stress, the surrogate achieved R² = 0.9291, RMSE = 7.918 MPa, and MAE = 6.092 MPa. The 90% prediction-interval coverage PICP₉₀ = 0.9471 and mean interval width MPIW₉₀ = 31.96 MPa confirm that the uncertainty estimates are well calibrated (Table 2, Fig. 2A). For keff, the surrogate achieved R² = 0.8752, PICP₉₀ = 0.9793, and MPIW₉₀ = 1.674 × 10⁻³, indicating similarly reliable interval coverage (Table 2).</w:t>
      </w:r>
    </w:p>
    <w:p>
      <w:r>
        <w:rPr>
          <w:rFonts w:ascii="Times New Roman" w:hAnsi="Times New Roman" w:eastAsia="微软雅黑"/>
        </w:rPr>
        <w:t>本文采用的约束正则化代理模型为嵌入单调性与不等式梯度惩罚的异方差 MLP，具体架构与损失函数见方法节。在留出测试集（n = 435）上，耦合稳态最大全局应力的预测精度为 R² = 0.9291，RMSE = 7.918 MPa，MAE = 6.092 MPa；90% 预测区间覆盖率 PICP₉₀ = 0.9471，平均区间宽度 MPIW₉₀ = 31.96 MPa，表明不确定性估计具有良好的校准特性（表 2，图 2A）。keff 的预测精度为 R² = 0.8752，PICP₉₀ = 0.9793， MPIW₉₀ = 1.674 × 10⁻³，区间覆盖同样可靠（表 2）。</w:t>
      </w:r>
    </w:p>
    <w:p>
      <w:r>
        <w:rPr>
          <w:rFonts w:ascii="Times New Roman" w:hAnsi="Times New Roman" w:eastAsia="微软雅黑"/>
        </w:rPr>
        <w:t>A cross-model comparison against four alternative training configurations (unconstrained baseline, monotonicity-only, physics-gradient monotonicity, and physics-gradient inequality-only) showed that stress RMSE varies modestly across the five variants, ranging from 7.918 to 8.178 MPa (a spread of 3.3%). The accuracy gains from constraint regularization are therefore incremental rather than transformative. The primary benefit lies in calibration quality: the constraint-regularized surrogate achieves the narrowest MPIW₉₀ of 31.96 MPa while keeping PICP₉₀ within the target 90–95% band (Table 2).</w:t>
      </w:r>
    </w:p>
    <w:p>
      <w:r>
        <w:rPr>
          <w:rFonts w:ascii="Times New Roman" w:hAnsi="Times New Roman" w:eastAsia="微软雅黑"/>
        </w:rPr>
        <w:t>将约束正则化代理与四种替代训练配置（无约束基线、仅单调性、物理梯度单调性、物理梯度不等式）进行跨模型对比，结果表明五种变体的应力 RMSE 差异有限，范围 7.918–8.178 MPa，极差仅 3.3%。约束正则化带来的精度增益是渐进式的，而非颠覆性的。其主要收益体现在校准质量上：约束正则化代理在 PICP₉₀ 保持于 90–95% 目标带内的前提下，实现了最窄的 MPIW₉₀（31.96 MPa）。</w:t>
      </w:r>
    </w:p>
    <w:p>
      <w:r>
        <w:rPr>
          <w:rFonts w:ascii="Times New Roman" w:hAnsi="Times New Roman" w:eastAsia="微软雅黑"/>
          <w:b/>
          <w:color w:val="CC0000"/>
        </w:rPr>
        <w:t>【待决：OOD 段落。Option A：若服务器端复现 ΔR² = +0.170，在此插入 OOD 评估段落。Option B：移至附录，正文仅定性提及 "the constraint-regularized surrogate exhibited improved robustness under α_base extrapolation (Appendix X)"。当前按 Option B 处理。】</w:t>
      </w:r>
    </w:p>
    <w:p>
      <w:r>
        <w:rPr>
          <w:rFonts w:ascii="Times New Roman" w:hAnsi="Times New Roman" w:eastAsia="微软雅黑"/>
        </w:rPr>
        <w:t>The constraint-regularized surrogate was selected as the primary model for all subsequent analyses based on three criteria: it achieves the tightest stress PICP₉₀ within the target calibration band, produces the narrowest prediction intervals without sacrificing coverage, and exhibits improved robustness under distributional shift (see Appendix</w:t>
      </w:r>
      <w:r>
        <w:rPr>
          <w:rFonts w:ascii="Times New Roman" w:hAnsi="Times New Roman" w:eastAsia="微软雅黑"/>
          <w:b/>
          <w:color w:val="CC0000"/>
        </w:rPr>
        <w:t>【待补：附录 OOD 评估编号】</w:t>
      </w:r>
      <w:r>
        <w:rPr>
          <w:rFonts w:ascii="Times New Roman" w:hAnsi="Times New Roman" w:eastAsia="微软雅黑"/>
        </w:rPr>
        <w:t>).</w:t>
      </w:r>
    </w:p>
    <w:p>
      <w:r>
        <w:rPr>
          <w:rFonts w:ascii="Times New Roman" w:hAnsi="Times New Roman" w:eastAsia="微软雅黑"/>
        </w:rPr>
        <w:t>综合上述结果，约束正则化代理被选为后续全部分析的主模型，理由有三：应力 PICP₉₀ 在目标校准带内最优；预测区间最窄且未牺牲覆盖率；分布偏移条件下鲁棒性更强（见附录</w:t>
      </w:r>
      <w:r>
        <w:rPr>
          <w:rFonts w:ascii="Times New Roman" w:hAnsi="Times New Roman" w:eastAsia="微软雅黑"/>
          <w:b/>
          <w:color w:val="CC0000"/>
        </w:rPr>
        <w:t>【待补】</w:t>
      </w:r>
      <w:r>
        <w:rPr>
          <w:rFonts w:ascii="Times New Roman" w:hAnsi="Times New Roman" w:eastAsia="微软雅黑"/>
        </w:rPr>
        <w:t>）。</w:t>
      </w:r>
    </w:p>
    <w:p>
      <w:r>
        <w:rPr>
          <w:rFonts w:ascii="Times New Roman" w:hAnsi="Times New Roman" w:eastAsia="微软雅黑"/>
          <w:i/>
          <w:color w:val="0055AA"/>
          <w:sz w:val="20"/>
        </w:rPr>
        <w:t>[TABLE 2: 约束正则化代理测试集精度——主要输出量的 R²/RMSE/MAE/PICP₉₀/MPIW₉₀]</w:t>
      </w:r>
    </w:p>
    <w:p>
      <w:r>
        <w:rPr>
          <w:rFonts w:ascii="Times New Roman" w:hAnsi="Times New Roman" w:eastAsia="微软雅黑"/>
          <w:i/>
          <w:color w:val="0055AA"/>
          <w:sz w:val="20"/>
        </w:rPr>
        <w:t>[FIG 2: (A) 应力预测-真值散点图 (B) 五模型 stress RMSE 对比条形图]</w:t>
      </w:r>
    </w:p>
    <w:p>
      <w:pPr>
        <w:pStyle w:val="Heading2"/>
      </w:pPr>
      <w:r>
        <w:t>2.2 前向不确定性传播 / Forward Uncertainty Propagation</w:t>
      </w:r>
    </w:p>
    <w:p>
      <w:r>
        <w:rPr>
          <w:rFonts w:ascii="Times New Roman" w:hAnsi="Times New Roman" w:eastAsia="微软雅黑"/>
        </w:rPr>
        <w:t>Forward propagation of 20,000 Latin hypercube samples through the surrogate mean function (y = μ(θ), isolating parametric uncertainty from surrogate aleatoric noise; see Methods) reveals how multi-physics coupling reshapes the output uncertainty landscape (Table 4, Fig. 3).</w:t>
      </w:r>
    </w:p>
    <w:p>
      <w:r>
        <w:rPr>
          <w:rFonts w:ascii="Times New Roman" w:hAnsi="Times New Roman" w:eastAsia="微软雅黑"/>
        </w:rPr>
        <w:t>对 20,000 个拉丁超立方样本通过代理均值函数（y = μ(θ)，隔离参数不确定性与代理偶然噪声；详见方法节）的前向传播，揭示了多物理耦合如何重塑输出不确定性格局（表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162.63 MPa and standard deviation of 30.47 MPa. The corresponding decoupled (single-pass) prediction has a mean of 205.03 MPa and standard deviation of 42.92 MPa. The coupling feedback reduces the stress standard deviation by 29.0% (from 42.92 to 30.47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162.63 MPa，标准差 30.47 MPa。对应的解耦（单轮）预测均值为 205.03 MPa，标准差 42.92 MPa。耦合反馈使应力标准差降低 29.0%（从 42.92 降至 30.47 MPa），表明多物理耦合衰减了解耦分析所预测的材料参数驱动应力变异中相当一部分。</w:t>
      </w:r>
    </w:p>
    <w:p>
      <w:r>
        <w:rPr>
          <w:rFonts w:ascii="Times New Roman" w:hAnsi="Times New Roman" w:eastAsia="微软雅黑"/>
        </w:rPr>
        <w:t>For coupled keff, the standard deviation is 6.59 × 10⁻⁴ (approximately 66 pcm), with a mean of 1.103558. Under the current LHS design, the first-iteration (decoupled) keff is effectively constant across all samples (standard deviation ~5 × 10⁻¹⁴), because the 8 sampled material parameters do not enter the neutron cross-section tables at the reference geometry. The coupled keff variability is therefore attributable to thermo-mechanical feedback: thermal expansion modifies core geometry, which is expected to affect neutron leakage and produce the observed 66-pcm spread. No decoupled-to-coupled compression ratio for keff is quoted, as the decoupled value carries no meaningful parametric uncertainty.</w:t>
      </w:r>
    </w:p>
    <w:p>
      <w:r>
        <w:rPr>
          <w:rFonts w:ascii="Times New Roman" w:hAnsi="Times New Roman" w:eastAsia="微软雅黑"/>
        </w:rPr>
        <w:t>耦合 keff 标准差为 6.59 × 10⁻⁴（约 66 pcm），均值 1.103558。在当前 LHS 设计下，第一轮（解耦）keff 在所有样本中实质上为常数（标准差约 5 × 10⁻¹⁴），因为 8 个采样的材料参数在参考几何条件下不进入中子截面表。因此耦合 keff 的变异可归因于热力反馈：热膨胀改变堆芯几何形状，预期将影响中子泄漏，产生观测到的 66 pcm 展宽。由于解耦值不携带有意义的参数不确定性，不引用 keff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0.9663</w:t>
            </w:r>
          </w:p>
        </w:tc>
      </w:tr>
      <w:tr>
        <w:tc>
          <w:tcPr>
            <w:tcW w:type="dxa" w:w="4320"/>
          </w:tcPr>
          <w:p>
            <w:r>
              <w:t>120</w:t>
            </w:r>
          </w:p>
        </w:tc>
        <w:tc>
          <w:tcPr>
            <w:tcW w:type="dxa" w:w="4320"/>
          </w:tcPr>
          <w:p>
            <w:r>
              <w:t>0.9270</w:t>
            </w:r>
          </w:p>
        </w:tc>
      </w:tr>
      <w:tr>
        <w:tc>
          <w:tcPr>
            <w:tcW w:type="dxa" w:w="4320"/>
          </w:tcPr>
          <w:p>
            <w:r>
              <w:t>131</w:t>
            </w:r>
          </w:p>
        </w:tc>
        <w:tc>
          <w:tcPr>
            <w:tcW w:type="dxa" w:w="4320"/>
          </w:tcPr>
          <w:p>
            <w:r>
              <w:t>0.8531</w:t>
            </w:r>
          </w:p>
        </w:tc>
      </w:tr>
      <w:tr>
        <w:tc>
          <w:tcPr>
            <w:tcW w:type="dxa" w:w="4320"/>
          </w:tcPr>
          <w:p>
            <w:r>
              <w:t>169</w:t>
            </w:r>
          </w:p>
        </w:tc>
        <w:tc>
          <w:tcPr>
            <w:tcW w:type="dxa" w:w="4320"/>
          </w:tcPr>
          <w:p>
            <w:r>
              <w:t>0.4006</w:t>
            </w:r>
          </w:p>
        </w:tc>
      </w:tr>
      <w:tr>
        <w:tc>
          <w:tcPr>
            <w:tcW w:type="dxa" w:w="4320"/>
          </w:tcPr>
          <w:p>
            <w:r>
              <w:t>200</w:t>
            </w:r>
          </w:p>
        </w:tc>
        <w:tc>
          <w:tcPr>
            <w:tcW w:type="dxa" w:w="4320"/>
          </w:tcPr>
          <w:p>
            <w:r>
              <w:t>0.1113</w:t>
            </w:r>
          </w:p>
        </w:tc>
      </w:tr>
    </w:tbl>
    <w:p/>
    <w:p>
      <w:r>
        <w:rPr>
          <w:rFonts w:ascii="Times New Roman" w:hAnsi="Times New Roman" w:eastAsia="微软雅黑"/>
        </w:rPr>
        <w:t>At the 131 MPa design-screening threshold, 85.3% of prior samples exceed the threshold — indicating that under the ±10% prior uncertainty in material parameters, exceedance is the expected rather than exceptional outcome. At 169 MPa — the nominal peak stress reported by Zhang et al. (2025) — approximately 40% of samples still exceed this level, and 11% exceed 200 MPa.</w:t>
      </w:r>
    </w:p>
    <w:p>
      <w:r>
        <w:rPr>
          <w:rFonts w:ascii="Times New Roman" w:hAnsi="Times New Roman" w:eastAsia="微软雅黑"/>
        </w:rPr>
        <w:t>在 131 MPa 设计筛选阈值处，85.3% 的先验样本超过阈值——确认在材料参数 ±10% 先验不确定性下，超阈为预期结果。在 Zhang et al.（2025）报道的标称峰值应力 169 MPa 处，约 40% 的样本仍超过此水平，11% 超过 200 MPa。</w:t>
      </w:r>
    </w:p>
    <w:p>
      <w:r>
        <w:rPr>
          <w:rFonts w:ascii="Times New Roman" w:hAnsi="Times New Roman" w:eastAsia="微软雅黑"/>
          <w:i/>
          <w:color w:val="0055AA"/>
          <w:sz w:val="20"/>
        </w:rPr>
        <w:t>[TABLE 4: 前向 UQ 统计——应力和 keff 的均值/标准差/超阈概率]</w:t>
      </w:r>
    </w:p>
    <w:p>
      <w:r>
        <w:rPr>
          <w:rFonts w:ascii="Times New Roman" w:hAnsi="Times New Roman" w:eastAsia="微软雅黑"/>
          <w:i/>
          <w:color w:val="0055AA"/>
          <w:sz w:val="20"/>
        </w:rPr>
        <w:t>[FIG 3: (A) 应力直方图：解耦 vs 耦合 (B) 耦合 keff 分布 + 阈值线]</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4096、50 次独立重复；详见方法节）识别出两个主要输出的不同主导路径（表 5，图 4）。</w:t>
      </w:r>
    </w:p>
    <w:p>
      <w:r>
        <w:rPr>
          <w:rFonts w:ascii="Times New Roman" w:hAnsi="Times New Roman" w:eastAsia="微软雅黑"/>
        </w:rPr>
        <w:t>For coupled steady-state stress, E_intercept is the dominant first-order factor (S₁ = 0.586, 90% CI: [0.584, 0.588]), accounting for approximately 59% of the variance. α_base ranks second (S₁ = 0.169, CI: [0.165, 0.172]), and ν ranks third (S₁ = 0.064, CI: [0.060, 0.067]). The remaining five inputs have S₁ confidence intervals approaching or including zero; in particular, SS316_alpha has a CI that crosses zero ([-0.001, 0.005]) and is not treated as a stable contributor. The total-order index for E_intercept (S_T = 0.600) exceeds S₁ by only 0.014, confirming that E_intercept affects stress primarily through a direct, independent mechanical channel with limited higher-order interaction.</w:t>
      </w:r>
    </w:p>
    <w:p>
      <w:r>
        <w:rPr>
          <w:rFonts w:ascii="Times New Roman" w:hAnsi="Times New Roman" w:eastAsia="微软雅黑"/>
        </w:rPr>
        <w:t>耦合稳态应力：E_intercept 是最主导的一阶因子（S₁ = 0.586，90% CI： [0.584, 0.588]），占方差的约 59%。α_base 居第二（S₁ = 0.169，CI： [0.165, 0.172]），ν 第三（S₁ = 0.064，CI：[0.060, 0.067]）。其余 5 个输入的 S₁ 置信区间接近或包含零；其中 SS316_alpha 的 CI 跨零（[-0.001, 0.005]），不被视为稳定贡献因子。E_intercept 的总阶指数（S_T = 0.600）仅比 S₁ 高 0.014，确认其主要通过直接、独立的力学通道影响应力，高阶交互作用有限。</w:t>
      </w:r>
    </w:p>
    <w:p>
      <w:r>
        <w:rPr>
          <w:rFonts w:ascii="Times New Roman" w:hAnsi="Times New Roman" w:eastAsia="微软雅黑"/>
        </w:rPr>
        <w:t>For coupled keff, α_base is the single dominant factor (S₁ = 0.775), followed by α_slope as a secondary contributor (S₁ ≈ 0.198). The remaining six inputs have small S₁ values with confidence intervals including zero. The dominance of α_base reflects that thermal expansion governs core geometry — and thereby neutron leakage probability — which is the principal physical mechanism determining keff variation.</w:t>
      </w:r>
    </w:p>
    <w:p>
      <w:r>
        <w:rPr>
          <w:rFonts w:ascii="Times New Roman" w:hAnsi="Times New Roman" w:eastAsia="微软雅黑"/>
        </w:rPr>
        <w:t>耦合 keff：α_base 是唯一主控因子（S₁ = 0.775），α_slope 为次级贡献者（S₁ ≈ 0.198）。其余 6 个参数的 S₁ 值较小且置信区间包含零。α_base 的主导性反映热膨胀控制堆芯几何形状——进而控制中子泄漏概率——这是决定耦合稳态 keff 变异的主要物理机制。</w:t>
      </w:r>
    </w:p>
    <w:p>
      <w:r>
        <w:rPr>
          <w:rFonts w:ascii="Times New Roman" w:hAnsi="Times New Roman" w:eastAsia="微软雅黑"/>
        </w:rPr>
        <w:t>The separation of dominant factors — E_intercept for stress, α_base for keff, with limited cross-interaction (S_T − S₁ &lt; 0.03 for both) — indicates that the two primary outputs are governed by largely non-overlapping physical pathways at the dominant-factor level.</w:t>
      </w:r>
    </w:p>
    <w:p>
      <w:r>
        <w:rPr>
          <w:rFonts w:ascii="Times New Roman" w:hAnsi="Times New Roman" w:eastAsia="微软雅黑"/>
        </w:rPr>
        <w:t>主控因子的分离——E_intercept 主导应力、α_base 主导 keff，交叉作用有限（两者 S_T − S₁ 均 &lt; 0.03）——表明两个主要输出在主控因子层面由基本不重叠的物理路径支配。</w:t>
      </w:r>
    </w:p>
    <w:p>
      <w:r>
        <w:rPr>
          <w:rFonts w:ascii="Times New Roman" w:hAnsi="Times New Roman" w:eastAsia="微软雅黑"/>
          <w:i/>
          <w:color w:val="0055AA"/>
          <w:sz w:val="20"/>
        </w:rPr>
        <w:t>[TABLE 5: Sobol 一阶指数 S₁（90% CI）——仅列 CI 下界 &gt; 0 的因子]</w:t>
      </w:r>
    </w:p>
    <w:p>
      <w:r>
        <w:rPr>
          <w:rFonts w:ascii="Times New Roman" w:hAnsi="Times New Roman" w:eastAsia="微软雅黑"/>
          <w:i/>
          <w:color w:val="0055AA"/>
          <w:sz w:val="20"/>
        </w:rPr>
        <w:t>[FIG 4: (A) 应力一阶指数 (B) keff 一阶指数]</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stress range 102–198 MPa) and 10 extreme-stress feasibility-check cases (true stress 133–194 MPa, all exceeding 131 MPa). Acceptance rates ranged from 0.487 to 0.592; trace-plot inspection confirmed stationarity after burn-in (Fig. A1).</w:t>
      </w:r>
    </w:p>
    <w:p>
      <w:r>
        <w:rPr>
          <w:rFonts w:ascii="Times New Roman" w:hAnsi="Times New Roman" w:eastAsia="微软雅黑"/>
        </w:rPr>
        <w:t>MCMC 后验标定（Metropolis-Hastings，8000 步迭代，烧入 2000，抽稀 5，提议尺度 0.40；详见方法节）在 18 个基准案例（来自测试集，6 低应力 / 6 近阈值 / 6 高应力，应力范围 102–198 MPa）和 10 个极端应力可行性检验案例（真实应力 133–194 MPa，均超 131 MPa）上执行。接受率 0.487–0.592；trace plot 确认烧入后平稳（图 A1）。</w:t>
      </w:r>
    </w:p>
    <w:p>
      <w:r>
        <w:rPr>
          <w:rFonts w:ascii="Times New Roman" w:hAnsi="Times New Roman" w:eastAsia="微软雅黑"/>
        </w:rPr>
        <w:t>Across the 18 benchmark cases, the posterior 90%-CI coverage for the four calibrated parameters (E_intercept, α_base, α_slope, SS316_k_ref) was 0.8750, indicating that the posterior distributions encompass the true parameter values at approximately the nominal rate.</w:t>
      </w:r>
    </w:p>
    <w:p>
      <w:r>
        <w:rPr>
          <w:rFonts w:ascii="Times New Roman" w:hAnsi="Times New Roman" w:eastAsia="微软雅黑"/>
        </w:rPr>
        <w:t>18 个基准案例中，4 个标定参数（E_intercept、α_base、α_slope、SS316_k_ref）的后验 90%-CI 覆盖率为 0.8750，表明后验分布以接近标称水平的比例涵盖真实参数值。</w:t>
      </w:r>
    </w:p>
    <w:p>
      <w:r>
        <w:rPr>
          <w:rFonts w:ascii="Times New Roman" w:hAnsi="Times New Roman" w:eastAsia="微软雅黑"/>
        </w:rPr>
        <w:t>The marginal posteriors exhibited non-Gaussian features consistent with the multiplicative stress structure σ ∝ E · α · ΔT. For high-stress cases, E_intercept shifted toward higher values (consistent with the Sobol attribution that higher stiffness produces higher stress), and the joint posterior of E_intercept and α_base showed a compensation ridge reflecting structural non-identifiability in the product form.</w:t>
      </w:r>
    </w:p>
    <w:p>
      <w:r>
        <w:rPr>
          <w:rFonts w:ascii="Times New Roman" w:hAnsi="Times New Roman" w:eastAsia="微软雅黑"/>
        </w:rPr>
        <w:t>边际后验呈现与乘积应力结构 σ ∝ E · α · ΔT 一致的非高斯特征。高应力案例中， E_intercept 向高值偏移（与 Sobol 归因一致），E_intercept 和 α_base 的联合后验呈现反映乘积形式结构不可识别性的补偿脊。</w:t>
      </w:r>
    </w:p>
    <w:p>
      <w:r>
        <w:rPr>
          <w:rFonts w:ascii="Times New Roman" w:hAnsi="Times New Roman" w:eastAsia="微软雅黑"/>
        </w:rPr>
        <w:t>For the 10 feasibility-check cases (all with true stress &gt; 131 MPa), the posterior exceedance probability P(σ &gt; 131 MPa | observations) ranged from 0.604 to 1.000, with 4 of 10 cases at P = 1.0. Under a feasibility gate requiring P(σ &lt; 131 MPa) ≥ 0.9, none of the 10 cases passed, indicating that the posterior excluded all high-stress configurations from the feasible set. The posterior exceedance probability decreased monotonically with lower observed stress across the full 18-case benchmark, supporting consistent risk stratification across the operating range.</w:t>
      </w:r>
    </w:p>
    <w:p>
      <w:r>
        <w:rPr>
          <w:rFonts w:ascii="Times New Roman" w:hAnsi="Times New Roman" w:eastAsia="微软雅黑"/>
        </w:rPr>
        <w:t>10 个可行性检验案例（真实应力均 &gt; 131 MPa）中，后验超阈概率 P(σ &gt; 131 MPa | 观测) 范围 0.604–1.000，其中 4 例 P = 1.0。在要求 P(σ &lt; 131 MPa) ≥ 0.9 的可行性门限下，10 例均未通过，表明后验将所有高应力配置排除在可行集之外。后验超阈概率在完整 18 例基准中随观测应力降低单调递减，支持全运行范围内风险分层的一致性。</w:t>
      </w:r>
    </w:p>
    <w:p>
      <w:r>
        <w:rPr>
          <w:rFonts w:ascii="Times New Roman" w:hAnsi="Times New Roman" w:eastAsia="微软雅黑"/>
          <w:b/>
          <w:color w:val="CC0000"/>
        </w:rPr>
        <w:t>【待决：后验均值处代理应力 MAE &lt; 6 MPa 的声明。feasible_region.csv 已验证 MAE = 4.16 MPa（10 例），但 benchmark_summary.csv 不含代理应力预测。Option A：仅报告 feasible 10 例的 4.16 MPa；Option B：加载模型重新计算 18 例后报告。当前按 Option A 处理：】</w:t>
      </w:r>
    </w:p>
    <w:p>
      <w:r>
        <w:rPr>
          <w:rFonts w:ascii="Times New Roman" w:hAnsi="Times New Roman" w:eastAsia="微软雅黑"/>
        </w:rPr>
        <w:t>The surrogate stress prediction at the posterior-mean parameters closely tracked the true stress for the feasibility-check cases (MAE = 4.16 MPa across 10 cases), suggesting that the posterior shifted toward an observation-compatible region of the parameter space.</w:t>
      </w:r>
    </w:p>
    <w:p>
      <w:r>
        <w:rPr>
          <w:rFonts w:ascii="Times New Roman" w:hAnsi="Times New Roman" w:eastAsia="微软雅黑"/>
        </w:rPr>
        <w:t>可行性检验案例中，后验均值参数处的代理应力预测与真实应力吻合度较高（10 例 MAE = 4.16 MPa），表明后验向与观测相容的参数区域收敛。</w:t>
      </w:r>
    </w:p>
    <w:p>
      <w:r>
        <w:rPr>
          <w:rFonts w:ascii="Times New Roman" w:hAnsi="Times New Roman" w:eastAsia="微软雅黑"/>
          <w:i/>
          <w:color w:val="0055AA"/>
          <w:sz w:val="20"/>
        </w:rPr>
        <w:t>[TABLE 6: 后验标定汇总——18 例覆盖率 + 10 例超阈概率]</w:t>
      </w:r>
    </w:p>
    <w:p>
      <w:r>
        <w:rPr>
          <w:rFonts w:ascii="Times New Roman" w:hAnsi="Times New Roman" w:eastAsia="微软雅黑"/>
          <w:i/>
          <w:color w:val="0055AA"/>
          <w:sz w:val="20"/>
        </w:rPr>
        <w:t>[FIG 5: (A) 后验均值预测 vs 真实应力 (B) 先验/后验预测分布对比] 【待生成：FIG 5C E_intercept–α_base 联合后验密度图。需运行 plot_posterior_joint.py 或等价绘图脚本。标注为 【FIG 5C 待生成】】</w:t>
      </w:r>
    </w:p>
    <w:p>
      <w:pPr>
        <w:pStyle w:val="Heading2"/>
      </w:pPr>
      <w:r>
        <w:t>2.5 直接高保真验证 / Direct High-Fidelity Spot-Check</w:t>
      </w:r>
    </w:p>
    <w:p>
      <w:r>
        <w:rPr>
          <w:rFonts w:ascii="Times New Roman" w:hAnsi="Times New Roman" w:eastAsia="微软雅黑"/>
        </w:rPr>
        <w:t>To assess whether the posterior-inferred parameter vectors produce physically consistent outputs when re-evaluated by the coupled solver, five cases were selected for direct HF re-evaluation at their posterior-mean parameter values. These comprised three strictly new LHS points not present in the surrogate training or test sets, one point originally yielding NaN in the dataset (refilled via HF rerun), and one exact reproduction of an existing dataset row.</w:t>
      </w:r>
    </w:p>
    <w:p>
      <w:r>
        <w:rPr>
          <w:rFonts w:ascii="Times New Roman" w:hAnsi="Times New Roman" w:eastAsia="微软雅黑"/>
        </w:rPr>
        <w:t>为评估后验推断的参数向量在耦合求解器中重新评估时是否产生物理一致的输出，选取 5 个案例在其后验均值参数处进行直接高保真重评估。其中包括 3 个不在代理训练集或测试集中的全新 LHS 采样点、1 个原始数据集中迭代二输出为 NaN 的样本（通过 HF 重运行补充）、以及 1 个对已有数据行的精确复现。</w:t>
      </w:r>
    </w:p>
    <w:p>
      <w:r>
        <w:rPr>
          <w:rFonts w:ascii="Times New Roman" w:hAnsi="Times New Roman" w:eastAsia="微软雅黑"/>
        </w:rPr>
        <w:t>Across the five cases, the stress MAE was 0.70 MPa and RMSE was 0.86 MPa, with a mean bias of +0.10 MPa — all well within the surrogate's predicted standard deviation and comparable to the HF solver's own numerical noise floor (~0.11 MPa). For keff, MAE was 25.8 pcm and RMSE was 27.4 pcm; all five cases fell within one predicted standard deviation.</w:t>
      </w:r>
    </w:p>
    <w:p>
      <w:r>
        <w:rPr>
          <w:rFonts w:ascii="Times New Roman" w:hAnsi="Times New Roman" w:eastAsia="微软雅黑"/>
        </w:rPr>
        <w:t>五个案例中，应力 MAE = 0.70 MPa，RMSE = 0.86 MPa，平均偏差 +0.10 MPa——均远在代理预测标准差之内，且与高保真求解器自身数值噪声水平（约 0.11 MPa）可比。keff：MAE = 25.8 pcm，RMSE = 27.4 pcm；五例均落入一个预测标准差之内。</w:t>
      </w:r>
    </w:p>
    <w:p>
      <w:r>
        <w:rPr>
          <w:rFonts w:ascii="Times New Roman" w:hAnsi="Times New Roman" w:eastAsia="微软雅黑"/>
        </w:rPr>
        <w:t>This spot-check provides evidence that the surrogate's posterior-mean predictions are physically realisable by the coupled solver, but it is limited in scope: five cases do not constitute a comprehensive external validation, and the points were selected to span the risk spectrum rather than by random sampling. The results are presented as a consistency check supporting the posterior calibration findings of Section 2.4, not as a standalone validation of surrogate generalisation.</w:t>
      </w:r>
    </w:p>
    <w:p>
      <w:r>
        <w:rPr>
          <w:rFonts w:ascii="Times New Roman" w:hAnsi="Times New Roman" w:eastAsia="微软雅黑"/>
        </w:rPr>
        <w:t>该抽查为代理后验均值预测在耦合求解器中的物理可实现性提供了证据，但其范围有限：五个案例不构成全面的外部验证，且选点以覆盖风险谱为目标而非随机采样。结果作为支持第 2.4 节后验标定发现的一致性检验呈现，不作为代理泛化能力的独立验证。</w:t>
      </w:r>
    </w:p>
    <w:p>
      <w:r>
        <w:rPr>
          <w:rFonts w:ascii="Times New Roman" w:hAnsi="Times New Roman" w:eastAsia="微软雅黑"/>
          <w:b/>
          <w:color w:val="CC0000"/>
        </w:rPr>
        <w:t>【待补：Plan A/B 扩展 HF rerun 完成后，更新案例数和统计量。当前 5 例来自已归档运行（hf_rerun_summary.json）。Plan A 将新增 3 例（低/近阈值/高风险）， Plan B 新增 5 例。】</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The 29% reduction in stress standard deviation from decoupled to coupled steady-state is consistent with the expected negative reactivity feedback in the HPR system. The plausible pathway is: higher α_base → greater thermal expansion → altered core geometry → changes in neutron leakage and power distribution → partial thermal stress relief. This type of feedback chain is a well-established self-regulation mechanism in compact reactor designs, although the relative contribution of each intermediate step cannot be isolated from the surrogate's input-output map alone. The surrogate-based forward UQ quantifies the net effect on the output uncertainty distribution — information that is inaccessible from single-physics or decoupled analyses.</w:t>
      </w:r>
    </w:p>
    <w:p>
      <w:r>
        <w:rPr>
          <w:rFonts w:ascii="Times New Roman" w:hAnsi="Times New Roman" w:eastAsia="微软雅黑"/>
        </w:rPr>
        <w:t>从解耦到耦合稳态应力标准差降低 29%，与 HPR 系统中预期的负反应性反馈一致。合理的作用路径为：α_base 升高 → 热膨胀增大 → 堆芯几何改变 → 中子泄漏及功率分布变化 → 热应力部分缓解。该类型反馈链是紧凑型反应堆设计中的经典自调节机制，但各中间步骤的相对贡献无法仅从代理的输入–输出映射中分离。基于代理的前向 UQ 量化了其对输出不确定性分布的净效应——这一信息在单物理或解耦分析中不可获取。</w:t>
      </w:r>
    </w:p>
    <w:p>
      <w:r>
        <w:rPr>
          <w:rFonts w:ascii="Times New Roman" w:hAnsi="Times New Roman" w:eastAsia="微软雅黑"/>
          <w:b/>
          <w:color w:val="CC0000"/>
        </w:rPr>
        <w:t>【注意：此处使用"功率重分布"而非"功率降低"——在稳态条件下，总功率由热管散热能力约束，不一定整体降低；反馈主要通过功率密度的空间重分布起作用。这一归因机制目前为物理推理，尚未通过逐步解耦数值实验直接验证。】</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surrogate framework.</w:t>
      </w:r>
    </w:p>
    <w:p>
      <w:r>
        <w:rPr>
          <w:rFonts w:ascii="Times New Roman" w:hAnsi="Times New Roman" w:eastAsia="微软雅黑"/>
        </w:rPr>
        <w:t>Chen et al.（2025, 核动力工程）在其 HPR 分析中观察到定性上类似的耦合驱动不确定性效应；本文通过代理框架将其扩展为定量表征。</w:t>
      </w:r>
    </w:p>
    <w:p>
      <w:pPr>
        <w:pStyle w:val="Heading2"/>
      </w:pPr>
      <w:r>
        <w:t>3.2 物理正则化与模型选择 / Physics Regularization and Model Selection</w:t>
      </w:r>
    </w:p>
    <w:p>
      <w:r>
        <w:rPr>
          <w:rFonts w:ascii="Times New Roman" w:hAnsi="Times New Roman" w:eastAsia="微软雅黑"/>
        </w:rPr>
        <w:t>The selection of the constraint-regularized surrogate over the unconstrained baseline is supported by three lines of evidence: (i) comparable in-distribution accuracy (stress R² differing by +0.001); (ii) improved calibration quality (PICP₉₀ closer to the 0.90 target with narrower intervals); and (iii) improved robustness under distributional shift</w:t>
      </w:r>
      <w:r>
        <w:rPr>
          <w:rFonts w:ascii="Times New Roman" w:hAnsi="Times New Roman" w:eastAsia="微软雅黑"/>
          <w:b/>
          <w:color w:val="CC0000"/>
        </w:rPr>
        <w:t>【待决：OOD 具体数值是否在正文引用，取决于 canonical 复现结果】</w:t>
      </w:r>
      <w:r>
        <w:rPr>
          <w:rFonts w:ascii="Times New Roman" w:hAnsi="Times New Roman" w:eastAsia="微软雅黑"/>
        </w:rPr>
        <w:t>. The regularization does not introduce a performance trade-off at the training distribution but provides a safety net against physically implausible predictions in data-sparse regions — a property that becomes critical when the surrogate is used for posterior calibration, where the MCMC sampler may propose parameter values near the boundary of the training domain.</w:t>
      </w:r>
    </w:p>
    <w:p>
      <w:r>
        <w:rPr>
          <w:rFonts w:ascii="Times New Roman" w:hAnsi="Times New Roman" w:eastAsia="微软雅黑"/>
        </w:rPr>
        <w:t>选择约束正则化代理而非无约束基线有三条证据支持：(i) 分布内精度相当（应力 R² 差异 +0.001）；(ii) 校准质量提升（PICP₉₀ 更接近 0.90 目标且区间更窄）； (iii) 分布偏移下鲁棒性提升</w:t>
      </w:r>
      <w:r>
        <w:rPr>
          <w:rFonts w:ascii="Times New Roman" w:hAnsi="Times New Roman" w:eastAsia="微软雅黑"/>
          <w:b/>
          <w:color w:val="CC0000"/>
        </w:rPr>
        <w:t>【待决：同上】</w:t>
      </w:r>
      <w:r>
        <w:rPr>
          <w:rFonts w:ascii="Times New Roman" w:hAnsi="Times New Roman" w:eastAsia="微软雅黑"/>
        </w:rPr>
        <w:t>。正则化在训练分布处不引入性能折衷，但为数据稀疏区域的物理不合理预测提供安全网——当代理用于后验标定（MCMC 采样器可能提议训练域边界处的参数值）时，这一属性至关重要。</w:t>
      </w:r>
    </w:p>
    <w:p>
      <w:pPr>
        <w:pStyle w:val="Heading2"/>
      </w:pPr>
      <w:r>
        <w:t>3.3 工程含义 / Engineering Implications</w:t>
      </w:r>
    </w:p>
    <w:p>
      <w:r>
        <w:rPr>
          <w:rFonts w:ascii="Times New Roman" w:hAnsi="Times New Roman" w:eastAsia="微软雅黑"/>
        </w:rPr>
        <w:t>The Sobol pathway separation — stress dominated by E_intercept (S₁ ≈ 0.59), keff dominated by α_base (S₁ ≈ 0.78) — has concrete engineering implications. For stress risk reduction, the highest leverage lies in tightening the manufacturing tolerance of E_intercept, targeting approximately 60% of stress variance. For reactivity stability, the primary lever is α_base uncertainty control. Because these two parameter sets have limited cross-influence on each other's target output, the limited cross-influence at the dominant-factor level motivates treating stress-margin and reactivity-control material characterisation as largely independent priorities.</w:t>
      </w:r>
    </w:p>
    <w:p>
      <w:r>
        <w:rPr>
          <w:rFonts w:ascii="Times New Roman" w:hAnsi="Times New Roman" w:eastAsia="微软雅黑"/>
        </w:rPr>
        <w:t>Sobol 路径分离——应力由 E_intercept 主导（S₁ ≈ 0.59），keff 由 α_base 主导（S₁ ≈ 0.78）——具有具体工程含义。对应力风险降低，最高杠杆在于收紧 E_intercept 制造公差，覆盖约 60% 的应力方差。对反应性稳定性，首要杠杆是 α_base 不确定性管控。两组参数在主控因子层面交叉影响有限，这支持将应力裕量和反应性控制的材料表征视为基本独立的优先事项。</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surrogate achieved a single-sample GPU latency of 1.553 × 10⁻⁴ s and a per-sample batched GPU latency of 1.709 × 10⁻⁷ s (batch size 1024), compared to 2266 s (~38 min) for the coupled HF solver (mean of 3 runs, std 1.34 s; hardware: AMD EPYC 9654 96-Core, 566 GB RAM, 2× RTX 5090). The resulting speedups are ~1.46 × 10⁷ (single-sample) and ~1.33 × 10¹⁰ (batched per-sample). An end-to-end forward UQ script (20,000 samples including I/O overhead) completes in 2.655 s, an 853× speedup over a single HF evaluation.</w:t>
      </w:r>
    </w:p>
    <w:p>
      <w:r>
        <w:rPr>
          <w:rFonts w:ascii="Times New Roman" w:hAnsi="Times New Roman" w:eastAsia="微软雅黑"/>
        </w:rPr>
        <w:t>代理模型单样本 GPU 推断延迟 1.553 × 10⁻⁴ s，批处理（1024 样本）单样本延迟 1.709 × 10⁻⁷ s，对比耦合高保真求解器 2266 s（约 38 分钟，3 次运行均值，标准差 1.34 s；硬件：AMD EPYC 9654 96-Core，566 GB RAM，2× RTX 5090）。加速比为 ~1.46 × 10⁷（单样本）和 ~1.33 × 10¹⁰（批处理单样本）。端到端前向 UQ 脚本（20,000 样本含 I/O 开销）在 2.655 s 内完成，相对单次 HF 评估加速 853 倍。</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surrogate was trained on a fixed dataset of 2900 samples from a single HPR design point (MegaPower reference). Changes in geometry, fuel enrichment, or operating conditions would require retraining. The training cost (~2900 HF runs × ~38 min ≈ ~76 compute-days) is a one-time investment.</w:t>
      </w:r>
    </w:p>
    <w:p>
      <w:r>
        <w:rPr>
          <w:rFonts w:ascii="Times New Roman" w:hAnsi="Times New Roman" w:eastAsia="微软雅黑"/>
        </w:rPr>
        <w:t>第一，代理模型在单一 HPR 设计点（MegaPower 参考设计）的 2900 个样本固定数据集上训练。几何、燃料富集度或运行工况变化需要重新训练。训练成本（~2900 次 HF 运行 × ~38 分钟 ≈ ~76 个计算日）为一次性投资。</w:t>
      </w:r>
    </w:p>
    <w:p>
      <w:r>
        <w:rPr>
          <w:rFonts w:ascii="Times New Roman" w:hAnsi="Times New Roman" w:eastAsia="微软雅黑"/>
        </w:rPr>
        <w:t>Second, the MCMC calibration fixed 4 of 8 parameters at their true values. Releasing additional parameters (e.g. k_ref,SS316, the third-ranked stress driver) would require independent thermal measurements to provide an informative likelihood, which are not available in the current benchmark. The reported posterior contraction is a lower bound on what full 8-dimensional calibration could achieve.</w:t>
      </w:r>
    </w:p>
    <w:p>
      <w:r>
        <w:rPr>
          <w:rFonts w:ascii="Times New Roman" w:hAnsi="Times New Roman" w:eastAsia="微软雅黑"/>
        </w:rPr>
        <w:t>第二，MCMC 标定将 8 个参数中的 4 个固定在真实值。放开更多参数（如第三灵敏因子 k_ref,SS316）需要独立热导率测量以提供信息性似然，当前基准中不具备。报告的后验收缩量是完整 8 维标定可达量的下界。</w:t>
      </w:r>
    </w:p>
    <w:p>
      <w:r>
        <w:rPr>
          <w:rFonts w:ascii="Times New Roman" w:hAnsi="Times New Roman" w:eastAsia="微软雅黑"/>
        </w:rPr>
        <w:t>Third, keff OOD prediction degraded substantially for both surrogate variants (R² ≈ 0.29 in appendix tests), indicating that keff extrapolation beyond the training range is unreliable. This limitation is specific to keff; stress extrapolation retained high accuracy under physics regularization.</w:t>
      </w:r>
    </w:p>
    <w:p>
      <w:r>
        <w:rPr>
          <w:rFonts w:ascii="Times New Roman" w:hAnsi="Times New Roman" w:eastAsia="微软雅黑"/>
        </w:rPr>
        <w:t>第三，两种代理变体的 keff OOD 预测均显著退化（附录测试 R² ≈ 0.29），表明 keff 外推在训练范围之外不可靠。此局限专属于 keff；应力外推在物理正则化下保持高精度。</w:t>
      </w:r>
    </w:p>
    <w:p>
      <w:r>
        <w:rPr>
          <w:rFonts w:ascii="Times New Roman" w:hAnsi="Times New Roman" w:eastAsia="微软雅黑"/>
        </w:rPr>
        <w:t>Fourth, the direct HF validation (Section 2.5) comprises only five cases selected to span the risk spectrum. A larger-scale random-draw validation would strengthen the evidence for surrogate fidelity.</w:t>
      </w:r>
    </w:p>
    <w:p>
      <w:r>
        <w:rPr>
          <w:rFonts w:ascii="Times New Roman" w:hAnsi="Times New Roman" w:eastAsia="微软雅黑"/>
        </w:rPr>
        <w:t>第四，直接高保真验证（第 2.5 节）仅包含 5 个覆盖风险谱的案例。更大规模的随机抽样验证将进一步强化代理保真度的证据。</w:t>
      </w:r>
    </w:p>
    <w:p>
      <w:r>
        <w:rPr>
          <w:rFonts w:ascii="Times New Roman" w:hAnsi="Times New Roman" w:eastAsia="微软雅黑"/>
        </w:rPr>
        <w:t>Fifth, the 131 MPa design-screening threshold used throughout this study is adopted from Zhang et al. (2025, Energy) as the SS316 yield strength at the relevant operating temperature.</w:t>
      </w:r>
      <w:r>
        <w:rPr>
          <w:rFonts w:ascii="Times New Roman" w:hAnsi="Times New Roman" w:eastAsia="微软雅黑"/>
          <w:b/>
          <w:color w:val="CC0000"/>
        </w:rPr>
        <w:t>【待核实：131 MPa 对应的确切温度需确认（~610-620°C）， ASME 数据在不同温度下给出不同值。此值已在 Energy 2025 论文发表使用，但严格来说应注明来源温度。】</w:t>
      </w:r>
      <w:r>
        <w:rPr>
          <w:rFonts w:ascii="Times New Roman" w:hAnsi="Times New Roman" w:eastAsia="微软雅黑"/>
        </w:rPr>
        <w:t>This value serves as a convenient screening boundary for demonstrating the pipeline; its specific magnitude does not affect the methodology or the qualitative conclusions.</w:t>
      </w:r>
    </w:p>
    <w:p>
      <w:r>
        <w:rPr>
          <w:rFonts w:ascii="Times New Roman" w:hAnsi="Times New Roman" w:eastAsia="微软雅黑"/>
        </w:rPr>
        <w:t>第五，本研究使用的 131 MPa 设计筛选阈值采自 Zhang et al.（2025, Energy），为 SS316 在相关运行温度下的屈服强度。</w:t>
      </w:r>
      <w:r>
        <w:rPr>
          <w:rFonts w:ascii="Times New Roman" w:hAnsi="Times New Roman" w:eastAsia="微软雅黑"/>
          <w:b/>
          <w:color w:val="CC0000"/>
        </w:rPr>
        <w:t>【待核实：同上】</w:t>
      </w:r>
      <w:r>
        <w:rPr>
          <w:rFonts w:ascii="Times New Roman" w:hAnsi="Times New Roman" w:eastAsia="微软雅黑"/>
        </w:rPr>
        <w:t>该值作为演示流水线的筛选边界；其具体数值不影响方法论或定性结论。</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Structural mechanics parameters. The temperature-dependent Young's modulus of the SS316 monolith is modelled as a linear function of temperature: E(T) = E_slope · T + E_intercept, where E_intercept (nominal: 2 × 10¹¹ Pa) determines the baseline stiffness and E_slope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结构力学参数。SS316 基体的温度相关弹性模量建模为温度的线性函数： E(T) = E_slope · T + E_intercept，其中 E_intercept（标称值 2 × 10¹¹ Pa）确定基础刚度，E_slope（标称值 −7 × 10⁷ Pa/K）反映温度软化效应。泊松比 ν（标称值 0.31）表征多轴应力状态。三个参数通过广义胡克定律 σ = C(E, ν) · ε 控制应力， C 为四阶刚度张量。</w:t>
      </w:r>
    </w:p>
    <w:p>
      <w:r>
        <w:rPr>
          <w:rFonts w:ascii="Times New Roman" w:hAnsi="Times New Roman" w:eastAsia="微软雅黑"/>
        </w:rPr>
        <w:t>Thermal deformation parameters. The coefficient of thermal expansion is modelled as α(T) = α_base + α_slope · T, where α_base (nominal: 1 × 10⁻⁵ K⁻¹) is the expansion coefficient at the reference condition and α_slope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热变形参数。热膨胀系数建模为 α(T) = α_base + α_slope · T，α_base（标称值 1 × 10⁻⁵ K⁻¹）为参考条件下膨胀系数，α_slope（标称值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SS316 thermal transport parameters. The thermal conductivity of the monolith is modelled as k(T) = k_ref + k_slope · (T − T_ref), where k_ref (nominal: 23.2 W/(m·K)) is the conductivity at the reference temperature T_ref (nominal: 923.15 K), and k_slope (nominal: 1/75 W/(m·K²)) captures its temperature dependence. These parameters control the temperature gradient across the monolith, which is the physical intermediary between fission power deposition and thermal stress. The eighth parameter, SS316_alpha (nominal: 1/75 W/(m·K²)), is a secondary thermal transport coefficient</w:t>
      </w:r>
      <w:r>
        <w:rPr>
          <w:rFonts w:ascii="Times New Roman" w:hAnsi="Times New Roman" w:eastAsia="微软雅黑"/>
          <w:b/>
          <w:color w:val="CC0000"/>
        </w:rPr>
        <w:t>【待核实：SS316_alpha 的物理定义需确认，当前标称值与 k_slope 相同，需核实是否为独立参数】</w:t>
      </w:r>
      <w:r>
        <w:rPr>
          <w:rFonts w:ascii="Times New Roman" w:hAnsi="Times New Roman" w:eastAsia="微软雅黑"/>
        </w:rPr>
        <w:t>.</w:t>
      </w:r>
    </w:p>
    <w:p>
      <w:r>
        <w:rPr>
          <w:rFonts w:ascii="Times New Roman" w:hAnsi="Times New Roman" w:eastAsia="微软雅黑"/>
        </w:rPr>
        <w:t>SS316 热传导参数。基体热导率建模为 k(T) = k_ref + k_slope · (T − T_ref)， k_ref（标称值 23.2 W/(m·K)）为参考温度 T_ref（标称值 923.15 K）处热导率， k_slope（标称值 1/75 W/(m·K²)）反映温度依赖性。这些参数控制基体内的温度梯度——裂变功率沉积与热应力之间的物理中间量。第八个参数 SS316_alpha（标称值 1/75 W/(m·K²)）为次级热传导系数</w:t>
      </w:r>
      <w:r>
        <w:rPr>
          <w:rFonts w:ascii="Times New Roman" w:hAnsi="Times New Roman" w:eastAsia="微软雅黑"/>
          <w:b/>
          <w:color w:val="CC0000"/>
        </w:rPr>
        <w:t>【待核实：同上】</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r>
        <w:rPr>
          <w:rFonts w:ascii="Times New Roman" w:hAnsi="Times New Roman" w:eastAsia="微软雅黑"/>
          <w:i/>
          <w:color w:val="0055AA"/>
          <w:sz w:val="20"/>
        </w:rPr>
        <w:t>[TABLE 1: 输入参数、标称值与先验分布]</w:t>
      </w:r>
    </w:p>
    <w:p>
      <w:pPr>
        <w:pStyle w:val="Heading2"/>
      </w:pPr>
      <w:r>
        <w:t>4.2 耦合高保真仿真 / Coupled High-Fidelity Simulation</w:t>
      </w:r>
    </w:p>
    <w:p>
      <w:r>
        <w:rPr>
          <w:rFonts w:ascii="Times New Roman" w:hAnsi="Times New Roman" w:eastAsia="微软雅黑"/>
        </w:rPr>
        <w:t>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keff and the spatially resolved fission power distribution. These are passed to the FEniCS thermo-elastic module, which solves for the temperature field, thermal expansion (displacement), and stress field. The updated geometry and temperature-dependent material cross- 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高保真（HF）工作流通过 Picard 不动点迭代方案耦合 OpenMC 蒙特卡洛中子学与 FEniCS 有限元求解器（Zhang et al. 2024）。从八个材料参数和参考堆芯几何出发， OpenMC 计算中子增殖因子 keff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surrogate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的初始几何功率分布，产生无反馈的热力输出。耦合稳态预测由完全收敛后的输出构成。比较两个层次可分离多物理耦合对输出分布的影响。代理模型同时预测两个层次。</w:t>
      </w:r>
    </w:p>
    <w:p>
      <w:r>
        <w:rPr>
          <w:rFonts w:ascii="Times New Roman" w:hAnsi="Times New Roman" w:eastAsia="微软雅黑"/>
        </w:rPr>
        <w:t>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keff to the same 7 thermal-structural quantities. The five primary outputs used in the posterior likelihood (Section 4.6) are: coupled peak global stress, coupled peak fuel temperature, coupled peak monolith temperature, coupled wall displacement, and keff.</w:t>
      </w:r>
    </w:p>
    <w:p>
      <w:r>
        <w:rPr>
          <w:rFonts w:ascii="Times New Roman" w:hAnsi="Times New Roman" w:eastAsia="微软雅黑"/>
        </w:rPr>
        <w:t>每次 HF 评估产生 15 个标量输出。7 个解耦（第一轮）输出为：平均燃料温度、峰值燃料温度、峰值基体温度、峰值全局应力、基体均温、膨胀后堆芯高度和热管壁面位移。8 个耦合（第二轮）输出在相同 7 个热力量基础上增加 keff。后验似然（4.6 节）中使用的 5 个主输出为：耦合峰值全局应力、耦合峰值燃料温度、耦合峰值基体温度、耦合壁面位移和 keff。</w:t>
      </w:r>
    </w:p>
    <w:p>
      <w:r>
        <w:rPr>
          <w:rFonts w:ascii="Times New Roman" w:hAnsi="Times New Roman" w:eastAsia="微软雅黑"/>
        </w:rPr>
        <w:t xml:space="preserve">A dataset of n = 2900 samples was generated by Latin hypercube sampling over the 8-dimensional prior. A small number of samples produced non-converged or NaN outputs in the coupled iteration; these were excluded prior to surrogate training </w:t>
      </w:r>
      <w:r>
        <w:rPr>
          <w:rFonts w:ascii="Times New Roman" w:hAnsi="Times New Roman" w:eastAsia="微软雅黑"/>
          <w:b/>
          <w:color w:val="CC0000"/>
        </w:rPr>
        <w:t>【待核实：NaN 样本的具体处理方式——是完全剔除还是仅剔除 iter2 NaN 行】</w:t>
      </w:r>
      <w:r>
        <w:rPr>
          <w:rFonts w:ascii="Times New Roman" w:hAnsi="Times New Roman" w:eastAsia="微软雅黑"/>
        </w:rPr>
        <w:t>. The remaining samples were split into training (2029, ~70%), validation (436, ~15%), and test (435, ~15%) sets with a fixed random seed (seed = 2026), ensuring reproducibility across all experiments. The surrogate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w:t>
      </w:r>
      <w:r>
        <w:rPr>
          <w:rFonts w:ascii="Times New Roman" w:hAnsi="Times New Roman" w:eastAsia="微软雅黑"/>
          <w:b/>
          <w:color w:val="CC0000"/>
        </w:rPr>
        <w:t>【待核实：同上】</w:t>
      </w:r>
      <w:r>
        <w:rPr>
          <w:rFonts w:ascii="Times New Roman" w:hAnsi="Times New Roman" w:eastAsia="微软雅黑"/>
        </w:rPr>
        <w:t>。剩余样本以固定随机种子（seed = 2026）划分为训练（2029，~70%）、验证（436，~15%）和测试（435，~15%）集，确保所有实验的可重复性。代理不解析中间耦合量（如空间分辨的功率或温度场），直接从 8 个输入参数映射到 15 个标量输出。</w:t>
      </w:r>
    </w:p>
    <w:p>
      <w:pPr>
        <w:pStyle w:val="Heading2"/>
      </w:pPr>
      <w:r>
        <w:t>4.3 约束正则化概率代理 / Constraint-Regularized Probabilistic Surrogate</w:t>
      </w:r>
    </w:p>
    <w:p>
      <w:r>
        <w:rPr>
          <w:rFonts w:ascii="Times New Roman" w:hAnsi="Times New Roman" w:eastAsia="微软雅黑"/>
        </w:rPr>
        <w:t>The surrogate architecture is a heteroscedastic multilayer perceptron (HeteroMLP). This architecture was selected over Bayesian neural networks (BNNs) for two reasons: (i) BNNs require multiple forward passes or variational inference to obtain predictive uncertainty, whereas the HeteroMLP produces calibrated input-dependent uncertainty in a single forward pass; and (ii) BNN weight-space uncertainty is computationally expensive for the downstream MCMC calibration, which requires thousands of surrogate evaluations per benchmark case. The HeteroMLP achieves comparable uncertainty calibration at substantially lower inference cost, as demonstrated by our prior BNN-based analysis (Chen et al. 2025, RPHA).</w:t>
      </w:r>
    </w:p>
    <w:p>
      <w:r>
        <w:rPr>
          <w:rFonts w:ascii="Times New Roman" w:hAnsi="Times New Roman" w:eastAsia="微软雅黑"/>
        </w:rPr>
        <w:t>代理架构为异方差多层感知机（HeteroMLP）。选择该架构而非贝叶斯神经网络（BNN）基于两个原因：(i) BNN 需要多次前向传播或变分推断来获取预测不确定性，而 HeteroMLP 在单次前向传播中即可生成校准的输入依赖不确定性；(ii) BNN 权重空间不确定性对下游 MCMC 标定的计算成本过高（每个基准案例需要数千次代理评估）。 HeteroMLP 在显著更低的推断成本下实现可比的不确定性校准，如我们前期基于 BNN 的分析（Chen et al. 2025, RPHA）所示。</w:t>
      </w:r>
    </w:p>
    <w:p>
      <w:r>
        <w:rPr>
          <w:rFonts w:ascii="Times New Roman" w:hAnsi="Times New Roman" w:eastAsia="微软雅黑"/>
        </w:rPr>
        <w:t>The HeteroMLP consists of a shared backbone of fully connected layers (depth 3–8, width 64–256 per layer, SiLU activation, dropout) that feeds into two parallel output heads: a mean head producing μ ∈ ℝ¹⁵ and a log-variance head producing log σ² ∈ ℝ¹⁵ (clamped to [−20, 5] for numerical stability). The 8 input parameters and 15 output targets are standardised to zero mean and unit variance using training-set statistics before training.</w:t>
      </w:r>
    </w:p>
    <w:p>
      <w:r>
        <w:rPr>
          <w:rFonts w:ascii="Times New Roman" w:hAnsi="Times New Roman" w:eastAsia="微软雅黑"/>
        </w:rPr>
        <w:t>HeteroMLP 由共享主干（全连接层，深度 3–8 层，每层宽度 64–256，SiLU 激活， dropout）馈入两个并行输出头：均值头输出 μ ∈ ℝ¹⁵，对数方差头输出 log σ² ∈ ℝ¹⁵（限幅至 [−20, 5] 以保证数值稳定）。8 个输入参数和 15 个输出目标在训练前使用训练集统计量标准化为零均值单位方差。</w:t>
      </w:r>
    </w:p>
    <w:p>
      <w:r>
        <w:rPr>
          <w:rFonts w:ascii="Times New Roman" w:hAnsi="Times New Roman" w:eastAsia="微软雅黑"/>
        </w:rPr>
        <w:t>The training loss combines three terms. The primary term is the heteroscedastic negative log-likelihood (NLL):</w:t>
      </w:r>
    </w:p>
    <w:p>
      <w:r>
        <w:rPr>
          <w:rFonts w:ascii="Times New Roman" w:hAnsi="Times New Roman" w:eastAsia="微软雅黑"/>
        </w:rPr>
        <w:t>训练损失由三项组成。主项为异方差负对数似然（NLL）：</w:t>
      </w:r>
    </w:p>
    <w:p>
      <w:r>
        <w:rPr>
          <w:rFonts w:ascii="Times New Roman" w:hAnsi="Times New Roman" w:eastAsia="微软雅黑"/>
        </w:rPr>
        <w:t xml:space="preserve">  L_NLL = (1/N) Σ_i Σ_j [(y_ij − μ_ij)² / (2σ²_ij) + (1/2) log σ²_ij]</w:t>
      </w:r>
    </w:p>
    <w:p>
      <w:r>
        <w:rPr>
          <w:rFonts w:ascii="Times New Roman" w:hAnsi="Times New Roman" w:eastAsia="微软雅黑"/>
        </w:rPr>
        <w:t>This loss jointly optimises the mean prediction accuracy and the variance calibration: underestimating σ² inflates the squared-error term, while overestimating σ² inflates the log-variance penalty.</w:t>
      </w:r>
    </w:p>
    <w:p>
      <w:r>
        <w:rPr>
          <w:rFonts w:ascii="Times New Roman" w:hAnsi="Times New Roman" w:eastAsia="微软雅黑"/>
        </w:rPr>
        <w:t>该损失函数同时优化均值预测精度和方差校准：低估 σ² 会放大平方误差项，高估 σ² 会放大对数方差惩罚项。</w:t>
      </w:r>
    </w:p>
    <w:p>
      <w:r>
        <w:rPr>
          <w:rFonts w:ascii="Times New Roman" w:hAnsi="Times New Roman" w:eastAsia="微软雅黑"/>
        </w:rPr>
        <w:t>The second term is a monotonicity penalty. For each input-output pair (x_i, y_j) with a physically expected gradient sign s_ij ∈ {+1, −1}, the penalty is:</w:t>
      </w:r>
    </w:p>
    <w:p>
      <w:r>
        <w:rPr>
          <w:rFonts w:ascii="Times New Roman" w:hAnsi="Times New Roman" w:eastAsia="微软雅黑"/>
        </w:rPr>
        <w:t>第二项为单调性惩罚。对每个具有物理预期梯度符号 s_ij ∈ {+1, −1} 的输入–输出对 (x_i, y_j)，惩罚项为：</w:t>
      </w:r>
    </w:p>
    <w:p>
      <w:r>
        <w:rPr>
          <w:rFonts w:ascii="Times New Roman" w:hAnsi="Times New Roman" w:eastAsia="微软雅黑"/>
        </w:rPr>
        <w:t xml:space="preserve">  L_mono = w_mono · (1/|P|) Σ_{(i,j,s)∈P} mean_batch[ReLU(−s_ij · ∂μ_j/∂x_i)]</w:t>
      </w:r>
    </w:p>
    <w:p>
      <w:r>
        <w:rPr>
          <w:rFonts w:ascii="Times New Roman" w:hAnsi="Times New Roman" w:eastAsia="微软雅黑"/>
        </w:rPr>
        <w:t>The monotone pairs P are derived from constitutive reasoning at the following confidence levels. High-confidence pairs (directly from constitutive equations): E_intercept → stress (+), from σ ∝ E · ε; k_ref → fuel temperature (−) and monolith temperature (−), from Fourier's law. Medium-confidence pairs (requiring coupling reasoning): α_base → stress (+), because higher expansion produces more thermal strain; α_base → keff (−) and α_slope → keff (−), because expansion is expected to increase neutron leakage. Lower-confidence pairs whose sign may depend on operating regime are not included.</w:t>
      </w:r>
    </w:p>
    <w:p>
      <w:r>
        <w:rPr>
          <w:rFonts w:ascii="Times New Roman" w:hAnsi="Times New Roman" w:eastAsia="微软雅黑"/>
        </w:rPr>
        <w:t>单调对集合 P 基于本构推理推导，置信层级如下。高置信对（直接来自本构方程）： E_intercept → 应力 (+)，源于 σ ∝ E · ε；k_ref → 燃料温度 (−) 和基体温度 (−)，源于 Fourier 定律。中等置信对（需要耦合推理）：α_base → 应力 (+)，因为更大膨胀产生更多热应变；α_base → keff (−) 和 α_slope → keff (−)，因为膨胀预期增加中子泄漏。符号可能随运行工况变化的低置信对不纳入。</w:t>
      </w:r>
    </w:p>
    <w:p>
      <w:r>
        <w:rPr>
          <w:rFonts w:ascii="Times New Roman" w:hAnsi="Times New Roman" w:eastAsia="微软雅黑"/>
        </w:rPr>
        <w:t>The third term is an inequality penalty for output ordering constraints:</w:t>
      </w:r>
    </w:p>
    <w:p>
      <w:r>
        <w:rPr>
          <w:rFonts w:ascii="Times New Roman" w:hAnsi="Times New Roman" w:eastAsia="微软雅黑"/>
        </w:rPr>
        <w:t>第三项为输出排序约束的不等式惩罚：</w:t>
      </w:r>
    </w:p>
    <w:p>
      <w:r>
        <w:rPr>
          <w:rFonts w:ascii="Times New Roman" w:hAnsi="Times New Roman" w:eastAsia="微软雅黑"/>
        </w:rPr>
        <w:t xml:space="preserve">  L_ineq = w_ineq · (1/|Q|) Σ_{(j,k)∈Q} mean_batch[ReLU(μ_k − μ_j)]</w:t>
      </w:r>
    </w:p>
    <w:p>
      <w:r>
        <w:rPr>
          <w:rFonts w:ascii="Times New Roman" w:hAnsi="Times New Roman" w:eastAsia="微软雅黑"/>
        </w:rPr>
        <w:t>The inequality set Q encodes physical ordering relationships: peak fuel temperature ≥ average fuel temperature (for both iteration levels), and non-negativity of stress. These constraints cannot be violated by the physical system and serve as regularisers against physically implausible predictions in data-sparse regions.</w:t>
      </w:r>
    </w:p>
    <w:p>
      <w:r>
        <w:rPr>
          <w:rFonts w:ascii="Times New Roman" w:hAnsi="Times New Roman" w:eastAsia="微软雅黑"/>
        </w:rPr>
        <w:t>不等式集合 Q 编码物理排序关系：峰值燃料温度 ≥ 平均燃料温度（两个迭代层次均适用），以及应力非负性。这些约束在物理系统中不可能被违反，作为数据稀疏区域物理不合理预测的正则化器。</w:t>
      </w:r>
    </w:p>
    <w:p>
      <w:r>
        <w:rPr>
          <w:rFonts w:ascii="Times New Roman" w:hAnsi="Times New Roman" w:eastAsia="微软雅黑"/>
        </w:rPr>
        <w:t>The total loss is: L = L_NLL + L_mono + L_ineq.</w:t>
      </w:r>
    </w:p>
    <w:p>
      <w:r>
        <w:rPr>
          <w:rFonts w:ascii="Times New Roman" w:hAnsi="Times New Roman" w:eastAsia="微软雅黑"/>
        </w:rPr>
        <w:t>总损失为：L = L_NLL + L_mono + L_ineq。</w:t>
      </w:r>
    </w:p>
    <w:p>
      <w:r>
        <w:rPr>
          <w:rFonts w:ascii="Times New Roman" w:hAnsi="Times New Roman" w:eastAsia="微软雅黑"/>
        </w:rPr>
        <w:t>Five model variants were trained to isolate the effect of each regularisation component: (1) baseline (NLL only), (2) data-mono (NLL + data-derived monotonicity from Spearman rank correlation), (3) phy-mono (NLL + physics-prior monotonicity), (4) phy-ineq (NLL + physics-prior inequality), and (5) data-mono-ineq (NLL + data-derived monotonicity + inequality). The constraint-regularized surrogate used throughout this paper is the data-mono-ineq variant.</w:t>
      </w:r>
    </w:p>
    <w:p>
      <w:r>
        <w:rPr>
          <w:rFonts w:ascii="Times New Roman" w:hAnsi="Times New Roman" w:eastAsia="微软雅黑"/>
        </w:rPr>
        <w:t>训练了五种模型变体以分离各正则化组分的效果：(1) baseline（仅 NLL），(2) data-mono（NLL + 基于 Spearman 秩相关的数据驱动单调性），(3) phy-mono（NLL + 物理先验单调性），(4) phy-ineq（NLL + 物理先验不等式），(5) data-mono-ineq （NLL + 数据驱动单调性 + 不等式）。本文使用的约束正则化代理为 data-mono-ineq 变体。</w:t>
      </w:r>
    </w:p>
    <w:p>
      <w:r>
        <w:rPr>
          <w:rFonts w:ascii="Times New Roman" w:hAnsi="Times New Roman" w:eastAsia="微软雅黑"/>
        </w:rPr>
        <w:t>Hyperparameters for each variant were independently optimised via Optuna using a TPE sampler with median pruning. The search space included: depth (3–8 layers), width (64–256), learning rate (10⁻⁴–3 × 10⁻³), batch size ({32, 64, 128}), gradient clipping (0.5–5.0), dropout rate, and regularisation weights w_mono (10⁻³–10) and w_ineq (10⁻⁴–5). The baseline and data-mono variants used 60 trials; the ablation variants used 40 trials each. For each trial, training ran for up to 300 epochs with early stopping (patience 25–30, minimum improvement 10⁻⁶) on validation NLL. The final checkpoint was selected as the trial with the lowest validation NLL. All models were trained with the Adam optimiser (weight decay 10⁻⁸–10⁻³) using Xavier uniform initialisation.</w:t>
      </w:r>
    </w:p>
    <w:p>
      <w:r>
        <w:rPr>
          <w:rFonts w:ascii="Times New Roman" w:hAnsi="Times New Roman" w:eastAsia="微软雅黑"/>
        </w:rPr>
        <w:t>各变体的超参数通过 Optuna 使用 TPE 采样器和中位数剪枝独立优化。搜索空间包括：深度（3–8 层）、宽度（64–256）、学习率（10⁻⁴–3 × 10⁻³）、批大小（{32, 64, 128}）、梯度裁剪（0.5–5.0）、dropout 率和正则化权重 w_mono （10⁻³–10）及 w_ineq（10⁻⁴–5）。baseline 和 data-mono 使用 60 次试验；消融变体各使用 40 次试验。每次试验训练至多 300 个 epoch，基于验证集 NLL 早停（耐心 25–30，最小改进 10⁻⁶）。最终检查点选取验证 NLL 最低的试验。所有模型使用 Adam 优化器（权重衰减 10⁻⁸–10⁻³）和 Xavier 均匀初始化。</w:t>
      </w:r>
    </w:p>
    <w:p>
      <w:r>
        <w:rPr>
          <w:rFonts w:ascii="Times New Roman" w:hAnsi="Times New Roman" w:eastAsia="微软雅黑"/>
          <w:i/>
          <w:color w:val="0055AA"/>
          <w:sz w:val="20"/>
        </w:rPr>
        <w:t>[FIG A7 (附录): HeteroMLP 架构示意图]</w:t>
      </w:r>
    </w:p>
    <w:p>
      <w:r>
        <w:rPr>
          <w:rFonts w:ascii="Times New Roman" w:hAnsi="Times New Roman" w:eastAsia="微软雅黑"/>
          <w:i/>
          <w:color w:val="0055AA"/>
          <w:sz w:val="20"/>
        </w:rPr>
        <w:t>[FIG A8 (附录): 五模型训练曲线]</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surrogate. 20,000 samples are drawn from the joint prior (Section 4.1) by Latin hypercube sampling. For each sample θ_i, the surrogate returns the predictive mean μ(θ_i) for all 15 outputs. The empirical distribution of {μ(θ_i)}_{i=1}^{20000} constitutes the prior-predictive uncertainty propagation.</w:t>
      </w:r>
    </w:p>
    <w:p>
      <w:r>
        <w:rPr>
          <w:rFonts w:ascii="Times New Roman" w:hAnsi="Times New Roman" w:eastAsia="微软雅黑"/>
        </w:rPr>
        <w:t>前向不确定性传播量化先验参数不确定性如何通过代理映射到输出不确定性。从联合先验（4.1 节）通过拉丁超立方采样抽取 20,000 个样本。对每个 θ_i，代理返回 15 个输出的预测均值 μ(θ_i)。{μ(θ_i)} 的经验分布构成先验预测不确定性传播。</w:t>
      </w:r>
    </w:p>
    <w:p>
      <w:r>
        <w:rPr>
          <w:rFonts w:ascii="Times New Roman" w:hAnsi="Times New Roman" w:eastAsia="微软雅黑"/>
        </w:rPr>
        <w:t>This protocol (y = μ(θ)) deliberately isolates parametric uncertainty from surrogate aleatoric noise. Because the heteroscedastic head models observation noise and model-form uncertainty as σ(θ), including it in the forward propagation (y = μ(θ) + σ(θ) · ε, ε ~ N(0,1)) would mix two distinct uncertainty sources.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μ(θ)）有意隔离参数不确定性与代理偶然噪声。由于异方差头将观测噪声和模型形式不确定性建模为 σ(θ)，在前向传播中包含它（y = μ(θ) + σ(θ) · ε）会混合两个不同的不确定性来源。正文结果报告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The threshold exceedance probability is defined as P(σ_max &gt; τ) = (1/N) Σ_i 𝟙{μ_stress(θ_i) &gt; τ}, where τ is the design-screening threshold. Results are reported at τ = 131 MPa (primary) and at τ ∈ {110, 120, 169, 200} MPa to span the range from conservative to nominal-stress levels.</w:t>
      </w:r>
    </w:p>
    <w:p>
      <w:r>
        <w:rPr>
          <w:rFonts w:ascii="Times New Roman" w:hAnsi="Times New Roman" w:eastAsia="微软雅黑"/>
        </w:rPr>
        <w:t>阈值超越概率定义为 P(σ_max &gt; τ) = (1/N) Σ_i 𝟙{μ_stress(θ_i) &gt; τ}，τ 为设计筛选阈值。结果在 τ = 131 MPa（主要）和 τ ∈ {110, 120, 169, 200} MPa 下报告，覆盖从保守到标称应力水平的范围。</w:t>
      </w:r>
    </w:p>
    <w:p>
      <w:pPr>
        <w:pStyle w:val="Heading2"/>
      </w:pPr>
      <w:r>
        <w:t>4.5 Sobol 敏感性分析方法 / Sobol Sensitivity Methodology</w:t>
      </w:r>
    </w:p>
    <w:p>
      <w:r>
        <w:rPr>
          <w:rFonts w:ascii="Times New Roman" w:hAnsi="Times New Roman" w:eastAsia="微软雅黑"/>
        </w:rPr>
        <w:t>Variance-based global sensitivity analysis decomposes the output variance into contributions from individual inputs (first-order indices S₁) and their interactions (total-order indices S_T). S₁ measures the fraction of output variance attributable to a single input alone; S_T includes all higher-order interactions involving that input. A large gap between S_T and S₁ indicates substantial interaction effects.</w:t>
      </w:r>
    </w:p>
    <w:p>
      <w:r>
        <w:rPr>
          <w:rFonts w:ascii="Times New Roman" w:hAnsi="Times New Roman" w:eastAsia="微软雅黑"/>
        </w:rPr>
        <w:t>基于方差的全局敏感性分析将输出方差分解为各输入的单独贡献（一阶指数 S₁）及其交互作用（总阶指数 S_T）。S₁ 度量仅由单个输入引起的输出方差比例；S_T 包括涉及该输入的所有高阶交互。S_T 与 S₁ 之间的较大差距表明存在显著的交互效应。</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surrogate evaluations per replication is N_S × (8 + 2) = 40,960. The surrogate mean function μ(θ) serves as the deterministic evaluator, for the same reason as in forward UQ: isolating parametric sensitivity from surrogate noise.</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A_B^(i)。每次重复的代理评估总数为 N_S × (8 + 2) = 40,960。代理均值函数 μ(θ) 充当确定性评估器，原因与前向 UQ 相同：隔离参数敏感性与代理噪声。</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w:t>
      </w:r>
    </w:p>
    <w:p>
      <w:r>
        <w:rPr>
          <w:rFonts w:ascii="Times New Roman" w:hAnsi="Times New Roman" w:eastAsia="微软雅黑"/>
        </w:rPr>
        <w:t>后验标定使用贝叶斯推断在给定观测耦合输出的条件下更新先验参数分布，量化类测量信息可以减少多少参数不确定性。</w:t>
      </w:r>
    </w:p>
    <w:p>
      <w:r>
        <w:rPr>
          <w:rFonts w:ascii="Times New Roman" w:hAnsi="Times New Roman" w:eastAsia="微软雅黑"/>
        </w:rPr>
        <w:t>Four parameters are selected for calibration: E_intercept, α_base, α_slope, and SS316_k_ref. This subset was chosen based on the Sobol ranking: these four parameters have the largest S₁ values for stress and/or keff, collectively accounting for the majority of the explained variance. The remaining four parameters (E_slope, SS316_T_ref, SS316_alpha,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选择四个参数进行标定：E_intercept、α_base、α_slope 和 SS316_k_ref。该子集基于 Sobol 排序选择：这四个参数对应力和/或 keff 具有最大的 S₁ 值，共同解释了大部分方差。其余四个参数（E_slope、SS316_T_ref、SS316_alpha、ν）固定在真实测试案例值。固定这些参数是一种简化假设，假定它们可被独立测量；将该假设放松为完整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surrogate has not seen the true parameter-output pairs during training. A total of 18 benchmark cases are selected by stratified sampling across three stress categories: 6 low-stress, 6 near-threshold (around 131 MPa), and 6 high-stress cases, spanning a true stress range of 102–198 MPa. An additional 10 feasibility-check cases (true stress 133–194 MPa, all exceeding 131 MPa) are used to test whether the posterior correctly excludes high-stress configurations from the feasible set. These 10 cases overlap partially with the high-stress stratum of the 18 benchmark cases.</w:t>
      </w:r>
    </w:p>
    <w:p>
      <w:r>
        <w:rPr>
          <w:rFonts w:ascii="Times New Roman" w:hAnsi="Times New Roman" w:eastAsia="微软雅黑"/>
        </w:rPr>
        <w:t>基准案例从留出测试集中抽取，确保代理在训练中未见过真实参数–输出对。通过在三个应力类别中分层采样选取共 18 个基准案例：6 低应力、6 近阈值（约 131 MPa 附近）和 6 高应力案例，真实应力范围 102–198 MPa。另选 10 个可行性检验案例（真实应力 133–194 MPa，均超 131 MPa）用于检验后验是否将高应力配置排除在可行集之外。这 10 个案例与 18 个基准的高应力层部分重叠。</w:t>
      </w:r>
    </w:p>
    <w:p>
      <w:r>
        <w:rPr>
          <w:rFonts w:ascii="Times New Roman" w:hAnsi="Times New Roman" w:eastAsia="微软雅黑"/>
        </w:rPr>
        <w:t>For each benchmark case, the "observations" are the true HF outputs of 5 primary coupled quantities (peak global stress, peak fuel temperature, peak monolith temperature, wall displacement, and keff) corrupted by 2% multiplicative Gaussian noise: y_obs = y_true + ε, ε ~ N(0, (0.02 × |y_true|)²). This noise level simulates realistic measurement uncertainty.</w:t>
      </w:r>
    </w:p>
    <w:p>
      <w:r>
        <w:rPr>
          <w:rFonts w:ascii="Times New Roman" w:hAnsi="Times New Roman" w:eastAsia="微软雅黑"/>
        </w:rPr>
        <w:t>对每个基准案例，"观测"为 5 个主耦合输出（峰值全局应力、峰值燃料温度、峰值基体温度、壁面位移和 keff）的真实 HF 输出加 2% 乘性高斯噪声： y_obs = y_true + ε，ε ~ N(0, (0.02 × |y_true|)²)。该噪声水平模拟实际测量不确定性。</w:t>
      </w:r>
    </w:p>
    <w:p>
      <w:r>
        <w:rPr>
          <w:rFonts w:ascii="Times New Roman" w:hAnsi="Times New Roman" w:eastAsia="微软雅黑"/>
        </w:rPr>
        <w:t>The posterior is sampled using single-chain Metropolis-Hastings MCMC.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case. The log-likelihood for a candidate parameter vector θ* is:</w:t>
      </w:r>
    </w:p>
    <w:p>
      <w:r>
        <w:rPr>
          <w:rFonts w:ascii="Times New Roman" w:hAnsi="Times New Roman" w:eastAsia="微软雅黑"/>
        </w:rPr>
        <w:t>后验通过单链 Metropolis-Hastings MCMC 采样。提议分布为以当前状态为中心的高斯分布，每个参数的尺度为 0.40 × σ_prior（σ_prior 为先验标准差）。每条链运行 8000 步迭代；前 2000 步作为烧入期丢弃，每 5 步保留 1 个样本，每个案例产生 1200 个后验样本。候选参数向量 θ* 的对数似然为：</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μ_j(θ*) is the surrogate mean prediction for the j-th output and σ_obs,j = 0.02 × |y_true,j| is the observation noise standard deviation. Acceptance rates across the 18 benchmark cases ranged from 0.487 to 0.592, within the recommended range for random-walk Metropolis. Convergence is assessed by trace-plot inspection (Fig. A1)</w:t>
      </w:r>
      <w:r>
        <w:rPr>
          <w:rFonts w:ascii="Times New Roman" w:hAnsi="Times New Roman" w:eastAsia="微软雅黑"/>
          <w:b/>
          <w:color w:val="CC0000"/>
        </w:rPr>
        <w:t>【待补：Rhat 定量诊断。benchmark_summary.csv 已含 rhat 列但尚未在正文引用具体数值。多链 (n_chains = 4) 运行可提供正式 Rhat，当前为单链运行】</w:t>
      </w:r>
      <w:r>
        <w:rPr>
          <w:rFonts w:ascii="Times New Roman" w:hAnsi="Times New Roman" w:eastAsia="微软雅黑"/>
        </w:rPr>
        <w:t>.</w:t>
      </w:r>
    </w:p>
    <w:p>
      <w:r>
        <w:rPr>
          <w:rFonts w:ascii="Times New Roman" w:hAnsi="Times New Roman" w:eastAsia="微软雅黑"/>
        </w:rPr>
        <w:t>其中 μ_j(θ*) 为第 j 个输出的代理均值预测，σ_obs,j = 0.02 × |y_true,j| 为观测噪声标准差。18 个基准案例的接受率范围 0.487–0.592，在随机游走 Metropolis 的推荐区间内。收敛通过 trace plot 评估（图 A1）</w:t>
      </w:r>
      <w:r>
        <w:rPr>
          <w:rFonts w:ascii="Times New Roman" w:hAnsi="Times New Roman" w:eastAsia="微软雅黑"/>
          <w:b/>
          <w:color w:val="CC0000"/>
        </w:rPr>
        <w:t>【待补：同上】</w:t>
      </w:r>
      <w:r>
        <w:rPr>
          <w:rFonts w:ascii="Times New Roman" w:hAnsi="Times New Roman" w:eastAsia="微软雅黑"/>
        </w:rPr>
        <w:t>。</w:t>
      </w:r>
    </w:p>
    <w:p>
      <w:r>
        <w:rPr>
          <w:rFonts w:ascii="Times New Roman" w:hAnsi="Times New Roman" w:eastAsia="微软雅黑"/>
        </w:rPr>
        <w:t>The direct HF spot-checks reported in Section 2.5 are not part of the posterior calibration pipeline. They are independent re-evaluations of the coupled solver at posterior-mean parameter values, intended to assess whether the surrogate's posterior-mean predictions are physically realisable. Their scope is limited to 5 selected cases and does not constitute a systematic validation of surrogate generalisation.</w:t>
      </w:r>
    </w:p>
    <w:p>
      <w:r>
        <w:rPr>
          <w:rFonts w:ascii="Times New Roman" w:hAnsi="Times New Roman" w:eastAsia="微软雅黑"/>
        </w:rPr>
        <w:t>第 2.5 节报告的直接 HF 抽查不属于后验标定流水线。它们是在后验均值参数处对耦合求解器的独立重新评估，旨在评估代理的后验均值预测是否在物理上可实现。其范围限于 5 个选定案例，不构成代理泛化能力的系统性验证。</w:t>
      </w:r>
    </w:p>
    <w:p>
      <w:pPr>
        <w:pStyle w:val="Heading1"/>
      </w:pPr>
      <w:r>
        <w:t>5. 结论 / Conclusion</w:t>
      </w:r>
    </w:p>
    <w:p>
      <w:r>
        <w:rPr>
          <w:rFonts w:ascii="Times New Roman" w:hAnsi="Times New Roman" w:eastAsia="微软雅黑"/>
        </w:rPr>
        <w:t>This work presented a constraint-regularized probabilistic surrogate framework for coupled multi-physics uncertainty-to-risk analysis in a heat-pipe-cooled reactor. The principal findings are:</w:t>
      </w:r>
    </w:p>
    <w:p>
      <w:r>
        <w:rPr>
          <w:rFonts w:ascii="Times New Roman" w:hAnsi="Times New Roman" w:eastAsia="微软雅黑"/>
        </w:rPr>
        <w:t>本文提出了约束正则化概率代理框架，用于热管冷却反应堆耦合多物理场不确定性–风险分析。主要发现如下：</w:t>
      </w:r>
    </w:p>
    <w:p>
      <w:r>
        <w:rPr>
          <w:rFonts w:ascii="Times New Roman" w:hAnsi="Times New Roman" w:eastAsia="微软雅黑"/>
        </w:rPr>
        <w:t>(1) The constraint-regularized HeteroMLP maintained stress R² = 0.9291 and PICP₉₀ = 0.947 in-distribution, with the narrowest prediction intervals among all tested configurations.</w:t>
      </w:r>
    </w:p>
    <w:p>
      <w:r>
        <w:rPr>
          <w:rFonts w:ascii="Times New Roman" w:hAnsi="Times New Roman" w:eastAsia="微软雅黑"/>
        </w:rPr>
        <w:t>（1）约束正则化 HeteroMLP 在分布内保持应力 R² = 0.9291 和 PICP₉₀ = 0.947，预测区间为所有测试配置中最窄。</w:t>
      </w:r>
    </w:p>
    <w:p>
      <w:r>
        <w:rPr>
          <w:rFonts w:ascii="Times New Roman" w:hAnsi="Times New Roman" w:eastAsia="微软雅黑"/>
        </w:rPr>
        <w:t>(2) Multi-physics coupling compresses material-parameter-driven stress uncertainty by 29%, consistent with the expected neutronics-thermal negative feedback that is absent in decoupled analysis.</w:t>
      </w:r>
    </w:p>
    <w:p>
      <w:r>
        <w:rPr>
          <w:rFonts w:ascii="Times New Roman" w:hAnsi="Times New Roman" w:eastAsia="微软雅黑"/>
        </w:rPr>
        <w:t>（2）多物理耦合将材料参数驱动的应力不确定性压缩 29%，与解耦分析中不存在的中子–热负反馈机制一致。</w:t>
      </w:r>
    </w:p>
    <w:p>
      <w:r>
        <w:rPr>
          <w:rFonts w:ascii="Times New Roman" w:hAnsi="Times New Roman" w:eastAsia="微软雅黑"/>
        </w:rPr>
        <w:t>(3) Stress and keff are governed by distinct sensitivity pathways at the dominant-factor level: E_intercept (S₁ = 0.586) dominates stress, α_base (S₁ = 0.775) dominates keff, with limited cross-interaction. This motivates treating stress-margin and reactivity-control material characterisation as largely independent priorities.</w:t>
      </w:r>
    </w:p>
    <w:p>
      <w:r>
        <w:rPr>
          <w:rFonts w:ascii="Times New Roman" w:hAnsi="Times New Roman" w:eastAsia="微软雅黑"/>
        </w:rPr>
        <w:t>（3）在主控因子层面，应力和 keff 受不同敏感性路径支配：E_intercept（S₁ = 0.586）主导应力，α_base（S₁ = 0.775）主导 keff，交叉作用有限。这支持将应力裕量和反应性控制的材料表征视为基本独立的优先事项。</w:t>
      </w:r>
    </w:p>
    <w:p>
      <w:r>
        <w:rPr>
          <w:rFonts w:ascii="Times New Roman" w:hAnsi="Times New Roman" w:eastAsia="微软雅黑"/>
        </w:rPr>
        <w:t>(4) Posterior calibration shifts the inferred parameter distribution toward observation-compatible regions (87.5% 90%-CI coverage, P(σ &gt; 131 MPa) = 0.604–1.000 for high-stress cases), with consistency supported by direct HF spot-checks (stress MAE = 0.70 MPa across 5 cases).</w:t>
      </w:r>
    </w:p>
    <w:p>
      <w:r>
        <w:rPr>
          <w:rFonts w:ascii="Times New Roman" w:hAnsi="Times New Roman" w:eastAsia="微软雅黑"/>
        </w:rPr>
        <w:t>（4）后验标定将推断参数分布向与观测相容的区域收敛（90%-CI 覆盖率 87.5%，高应力案例 P(σ &gt; 131 MPa) = 0.604–1.000），经 5 例直接 HF 抽查支持一致性（应力 MAE = 0.70 MPa）。</w:t>
      </w:r>
    </w:p>
    <w:p>
      <w:r>
        <w:rPr>
          <w:rFonts w:ascii="Times New Roman" w:hAnsi="Times New Roman" w:eastAsia="微软雅黑"/>
        </w:rPr>
        <w:t>The ~1.3 × 10¹⁰ batched speedup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~1.3 × 10¹⁰ 的批处理加速比使完整流水线——前向 UQ、敏感性分析和后验标定——可在数分钟内完成，使具有显著材料不确定性的反应堆系统的风险知情决策在计算上可行。</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评估（α_base 外推：应力 ΔR² 对比；keff OOD R² ≈ 0.29） B. 基线代理完整测试集对比 C. 阈值扩展分析（110, 120, 131 MPa 扫描） D. 完整 Sobol 结果（8 输入 × 2 输出 × 5 模型，含 S_T 指数） E. 全部 15 输出量精度表（FIG A5: 分输出精度图） F. MCMC 迹图（FIG A1） G. 先验–后验边缘分布（FIG A2） H. 代理校准可靠性曲线（FIG A3） I. 异方差预测不确定性可视化（FIG A4） J. 先验–后验预测分布对比（FIG A6） K. HeteroMLP 架构示意图（FIG A7） L. 训练曲线（FIG A8）——五模型损失/指标演化 M. 速度基准详情表（TABLE M1） N. 前向 UQ predictive variant 结果对比（μ-only vs predictive）</w:t>
      </w:r>
    </w:p>
    <w:p>
      <w:r>
        <w:rPr>
          <w:rFonts w:ascii="Times New Roman" w:hAnsi="Times New Roman" w:eastAsia="微软雅黑"/>
          <w:i/>
          <w:color w:val="888888"/>
          <w:sz w:val="18"/>
        </w:rPr>
        <w:t># 投稿前必须完成事项</w:t>
        <w:br/>
        <w:t># ✓ 已确认 data-mono-ineq 为最终主模型（0411 canonical）</w:t>
        <w:br/>
        <w:t># ✓ 全文 forward UQ / Sobol / posterior 定量数字已用 0411 mu-only canonical 更新</w:t>
        <w:br/>
        <w:t># ✓ NCS 结构重排：Introduction → Results → Discussion → Methods</w:t>
        <w:br/>
        <w:t># ✓ 统一命名：constraint-regularized surrogate（正文不出现 data-mono-ineq）</w:t>
        <w:br/>
        <w:t># ✓ 131 MPa 降级为 design-screening threshold</w:t>
        <w:br/>
        <w:t># ✓ 删除全部 keff 压缩叙事（6300 pcm / 95-fold / 183× / two orders of magnitude）</w:t>
        <w:br/>
        <w:t># ✓ 速度数据更新至 2266 s / 1.46e7 / 1.33e10 / 853×</w:t>
        <w:br/>
        <w:t># ✓ nearest-neighbour 检索已完全移除</w:t>
        <w:br/>
        <w:t># ✓ HF rerun（§2.5）定位为从属于 §2.4 的一致性检验</w:t>
        <w:br/>
        <w:t># □ 【待核实】131 MPa 对应确切温度和材料数据源</w:t>
        <w:br/>
        <w:t># □ 【待决】OOD ΔR² = +0.170 是否在正文引用（需 canonical 复现）</w:t>
        <w:br/>
        <w:t># □ 【待决】后验均值 MAE：当前仅 feasible 10 例（4.16 MPa），benchmark 18 例待验</w:t>
        <w:br/>
        <w:t># □ 【待生成】FIG 5C 联合后验密度图</w:t>
        <w:br/>
        <w:t># □ 【待补】Plan A/B HF rerun 完成后更新 §2.5 案例数和统计量</w:t>
        <w:br/>
        <w:t># □ 【待补】MCMC Rhat 定量诊断</w:t>
        <w:br/>
        <w:t># □ 【待补】附录编号统一</w:t>
        <w:br/>
        <w:t># □ Table 1: 与 rpha PPT 核对先验上下界</w:t>
        <w:br/>
        <w:t># □ 统一参考文献格式并编号</w:t>
        <w:br/>
        <w:t># □ 确认数据/代码公开方式</w:t>
        <w:br/>
        <w:t># □ 摘要精简至 ≤150 词（当前约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