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微软雅黑"/>
          <w:b/>
          <w:sz w:val="28"/>
        </w:rPr>
        <w:t>Probabilistic Neural Surrogates for Uncertainty-to-Risk Analysis in Coupled Multi-Physics Systems: Application to a Heat-Pipe-Cooled Reactor</w:t>
      </w:r>
    </w:p>
    <w:p>
      <w:pPr>
        <w:jc w:val="center"/>
      </w:pPr>
      <w:r>
        <w:rPr>
          <w:rFonts w:ascii="Times New Roman" w:hAnsi="Times New Roman" w:eastAsia="微软雅黑"/>
          <w:b/>
          <w:sz w:val="26"/>
        </w:rPr>
        <w:t>概率神经代理模型在耦合多物理场系统不确定性–风险分析中的应用——以热管冷却反应堆为例</w:t>
      </w:r>
    </w:p>
    <w:p>
      <w:pPr>
        <w:jc w:val="center"/>
      </w:pPr>
      <w:r>
        <w:rPr>
          <w:rFonts w:ascii="Times New Roman" w:hAnsi="Times New Roman" w:eastAsia="微软雅黑"/>
          <w:color w:val="999999"/>
          <w:sz w:val="18"/>
        </w:rPr>
        <w:t>Draft v3  |  Generated 2026-04-15 14:17</w:t>
      </w:r>
    </w:p>
    <w:p/>
    <w:p>
      <w:pPr>
        <w:pStyle w:val="Heading1"/>
      </w:pPr>
      <w:r>
        <w:t>作者 / Authors</w:t>
      </w:r>
    </w:p>
    <w:p>
      <w:r>
        <w:rPr>
          <w:rFonts w:ascii="Times New Roman" w:hAnsi="Times New Roman" w:eastAsia="微软雅黑"/>
        </w:rPr>
        <w:t>Yinuo Chen¹ᵃ˒ᵇ, Sicheng Wang²ᵇ˒ᶜ, Xiaojing Liu³ᵃ˒ᵇ and Tengfei Zhang⁴ᵃ˒ᵇ˒*</w:t>
      </w:r>
    </w:p>
    <w:p>
      <w:r>
        <w:rPr>
          <w:rFonts w:ascii="Times New Roman" w:hAnsi="Times New Roman" w:eastAsia="微软雅黑"/>
        </w:rPr>
        <w:t>a  School of Nuclear Science and Engineering, Shanghai Jiao Tong University, Shanghai, 200240, China b  Shanghai Digital Nuclear Reactor Technology Integration Innovation Center, Shanghai, 200240, China c  College of Smart Energy, Shanghai Jiao Tong University, Shanghai, 200240, China</w:t>
      </w:r>
    </w:p>
    <w:p>
      <w:r>
        <w:rPr>
          <w:rFonts w:ascii="Times New Roman" w:hAnsi="Times New Roman" w:eastAsia="微软雅黑"/>
        </w:rPr>
        <w:t>*  Corresponding author: zhangtengfei@sjtu.edu.cn</w:t>
      </w:r>
    </w:p>
    <w:p>
      <w:pPr>
        <w:pStyle w:val="Heading1"/>
      </w:pPr>
      <w:r>
        <w:t>摘要 / Abstract</w:t>
      </w:r>
    </w:p>
    <w:p>
      <w:r>
        <w:rPr>
          <w:rFonts w:ascii="Times New Roman" w:hAnsi="Times New Roman" w:eastAsia="微软雅黑"/>
        </w:rPr>
        <w:t xml:space="preserve">We develop a constraint-regularized probabilistic surrogate for uncertainty-to-risk analysis in safety-critical coupled multi-physics systems, demonstrated on a heat-pipe-cooled reactor (HPR) with fully coupled neutronics–thermal–structural feedback. A heteroscedastic multilayer perceptron, trained on coupled OpenMC–FEniCS simulations with physics-consistent monotonicity and inequality constraints, maps uncertain material parameters to predictive distributions over the coupled outputs with well-calibrated intervals (stress R² = 0.929; 90%-interval coverage 0.947). Forward Monte Carlo propagation shows that multi-physics coupling reshapes the stress uncertainty distribution, reducing its standard deviation by 29% relative to the decoupled prediction. Sobol analysis identifies largely independent dominant pathways for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MCMC calibration against noisy observations yields posterior 90%-interval coverage of 87.5% and stratifies exceedance risk at an adopted 131 MPa design-screening threshold. The surrogate runs orders of magnitude faster than the coupled solver, enabling end-to-end probabilistic risk analysis that is otherwise infeasible at the high-fidelity level.</w:t>
      </w:r>
    </w:p>
    <w:p>
      <w:r>
        <w:rPr>
          <w:rFonts w:ascii="Times New Roman" w:hAnsi="Times New Roman" w:eastAsia="微软雅黑"/>
        </w:rPr>
        <w:t xml:space="preserve">本文面向安全敏感的耦合多物理系统中的不确定性–风险分析，构建了一套约束正则化概率代理建模框架，并以具备完整中子–热–力耦合反馈的热管冷却反应堆（HPR）作为工程验证对象。代理模型采用异方差多层感知机，基于耦合 OpenMC–FEniCS 仿真训练，嵌入物理一致的单调性与不等式约束，将材料不确定输入映射为耦合输出的预测分布，并给出良好校准的预测区间（应力 R² = 0.929；90% 区间覆盖率 0.947）。前向蒙特卡洛传播表明，多物理耦合重塑了应力的不确定性分布，其标准差相对解耦预测降低 29%。Sobol 分析识别出应力与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的主导作用路径基本独立。MCMC 在含噪观测下的后验标定给出 90% 区间覆盖率 87.5%，并在所采用的 131 MPa 设计筛选阈值下分层评估超阈风险。代理模型较耦合求解器快多个数量级，使在高保真层面不可行的端到端概率风险分析得以实现。</w:t>
      </w:r>
    </w:p>
    <w:p>
      <w:pPr>
        <w:pStyle w:val="Heading1"/>
      </w:pPr>
      <w:r>
        <w:t>1. 引言 / Introduction</w:t>
      </w:r>
    </w:p>
    <w:p>
      <w:r>
        <w:rPr>
          <w:rFonts w:ascii="Times New Roman" w:hAnsi="Times New Roman" w:eastAsia="微软雅黑"/>
          <w:i/>
          <w:color w:val="0055AA"/>
          <w:sz w:val="20"/>
        </w:rPr>
        <w:t>[第一段：对象与计算问题]</w:t>
      </w:r>
    </w:p>
    <w:p>
      <w:r>
        <w:rPr>
          <w:rFonts w:ascii="Times New Roman" w:hAnsi="Times New Roman" w:eastAsia="微软雅黑"/>
        </w:rPr>
        <w:t>Heat-pipe-cooled reactors (HPRs) are compact, monolithic-core systems in which neutronics, heat transfer, and structural deformation are coupled through two-way feedback rather than arranged in a one-way sequence (McClure et al. 2015). Temperature fields drive thermal expansion and stress, while geometry changes induced by thermal expansion feed back into neutron leakage and power distribution. Under this closed feedback, uncertainty in material properties cannot be propagated independently within each physics, and coupled uncertainty transmission — rather than single-field prediction — becomes the central computational problem.</w:t>
      </w:r>
    </w:p>
    <w:p>
      <w:r>
        <w:rPr>
          <w:rFonts w:ascii="Times New Roman" w:hAnsi="Times New Roman" w:eastAsia="微软雅黑"/>
        </w:rPr>
        <w:t>热管冷却反应堆（HPR）是将中子学、传热和结构变形通过双向反馈紧密耦合的紧凑型基体式堆芯系统，而非单向串联过程（McClure et al. 2015）。温度场驱动基体热膨胀与应力演化，热膨胀引起的几何变化又反馈至中子泄漏与功率分布。在这一闭合反馈下，材料属性不确定性无法在各物理域内独立传播，耦合条件下的不确定性传递——而非单场点预测——成为核心计算问题。</w:t>
      </w:r>
    </w:p>
    <w:p>
      <w:r>
        <w:rPr>
          <w:rFonts w:ascii="Times New Roman" w:hAnsi="Times New Roman" w:eastAsia="微软雅黑"/>
          <w:i/>
          <w:color w:val="0055AA"/>
          <w:sz w:val="20"/>
        </w:rPr>
        <w:t>[第二段：国际研究现状与统一概率计算层的空白]</w:t>
      </w:r>
    </w:p>
    <w:p>
      <w:r>
        <w:rPr>
          <w:rFonts w:ascii="Times New Roman" w:hAnsi="Times New Roman" w:eastAsia="微软雅黑"/>
        </w:rPr>
        <w:t xml:space="preserve">High-fidelity multiphysics analysis of compact heat-pipe microreactors is now an active international direction. Coupled toolchains integrating Monte-Carlo neutronics with finite-element thermal–mechanical and heat-pipe models — most notably the MOOSE-based Griffin–BISON–Sockeye suite developed under the NEAMS programme, together with OpenMC–FEniCS-class workflows — have been demonstrated on KRUSTY-class and megawatt-scale heat-pipe designs </w:t>
      </w:r>
      <w:r>
        <w:rPr>
          <w:rFonts w:ascii="Times New Roman" w:hAnsi="Times New Roman" w:eastAsia="微软雅黑"/>
          <w:b/>
          <w:color w:val="CC0000"/>
        </w:rPr>
        <w:t>【ref: NEAMS/MOOSE HPR multiphysics】</w:t>
      </w:r>
      <w:r>
        <w:rPr>
          <w:rFonts w:ascii="Times New Roman" w:hAnsi="Times New Roman" w:eastAsia="微软雅黑"/>
        </w:rPr>
        <w:t xml:space="preserve">. In parallel, thermal–structural safety studies based on commercial solvers have repeatedly identified stress concentration and structural integrity as recurring concerns for monolithic-core microreactors </w:t>
      </w:r>
      <w:r>
        <w:rPr>
          <w:rFonts w:ascii="Times New Roman" w:hAnsi="Times New Roman" w:eastAsia="微软雅黑"/>
          <w:b/>
          <w:color w:val="CC0000"/>
        </w:rPr>
        <w:t>【ref: commercial thermal–structural HPR safety】</w:t>
      </w:r>
      <w:r>
        <w:rPr>
          <w:rFonts w:ascii="Times New Roman" w:hAnsi="Times New Roman" w:eastAsia="微软雅黑"/>
        </w:rPr>
        <w:t xml:space="preserve">. A separate line in nuclear computational science is building probabilistic workflows around such simulators — stochastic tools within MOOSE, physics-informed and physics-enhanced neural surrogates, and digital-twin pipelines for safety screening </w:t>
      </w:r>
      <w:r>
        <w:rPr>
          <w:rFonts w:ascii="Times New Roman" w:hAnsi="Times New Roman" w:eastAsia="微软雅黑"/>
          <w:b/>
          <w:color w:val="CC0000"/>
        </w:rPr>
        <w:t>【ref: MOOSE stochastic tools / PINN nuclear surrogate】</w:t>
      </w:r>
      <w:r>
        <w:rPr>
          <w:rFonts w:ascii="Times New Roman" w:hAnsi="Times New Roman" w:eastAsia="微软雅黑"/>
        </w:rPr>
        <w:t>; related efforts in the HPR context include high-fidelity coupled solves (Zhang et al. 2024), design-oriented surrogates (Zhang et al. 2025), and preliminary coupling-aware uncertainty studies (Chen et al. 2025). These three strands converge on a shared need but not on a shared solution: there is still no unified probabilistic computational layer that simultaneously delivers fast surrogate prediction, forward uncertainty propagation, global sensitivity attribution, and observation-conditioned posterior updating within a single coupled framework.</w:t>
      </w:r>
    </w:p>
    <w:p>
      <w:r>
        <w:rPr>
          <w:rFonts w:ascii="Times New Roman" w:hAnsi="Times New Roman" w:eastAsia="微软雅黑"/>
        </w:rPr>
        <w:t>紧凑型热管微堆的高保真多物理分析已是国际上的活跃方向。将蒙特卡洛中子学与有限元热–力及热管模型耦合的工具链——包括 NEAMS 项目下基于 MOOSE 的 Griffin–BISON–Sockeye 套件，以及 OpenMC–FEniCS 级工作流——已在 KRUSTY 类与兆瓦级热管堆芯上展示</w:t>
      </w:r>
      <w:r>
        <w:rPr>
          <w:rFonts w:ascii="Times New Roman" w:hAnsi="Times New Roman" w:eastAsia="微软雅黑"/>
          <w:b/>
          <w:color w:val="CC0000"/>
        </w:rPr>
        <w:t>【ref: NEAMS/MOOSE HPR 多物理】</w:t>
      </w:r>
      <w:r>
        <w:rPr>
          <w:rFonts w:ascii="Times New Roman" w:hAnsi="Times New Roman" w:eastAsia="微软雅黑"/>
        </w:rPr>
        <w:t>。与此同时，基于商用求解器的热–力安全分析反复指出：应力集中与结构完整性是基体式微堆重复出现的关键问题</w:t>
      </w:r>
      <w:r>
        <w:rPr>
          <w:rFonts w:ascii="Times New Roman" w:hAnsi="Times New Roman" w:eastAsia="微软雅黑"/>
          <w:b/>
          <w:color w:val="CC0000"/>
        </w:rPr>
        <w:t>【ref: 商用热–力 HPR 安全】</w:t>
      </w:r>
      <w:r>
        <w:rPr>
          <w:rFonts w:ascii="Times New Roman" w:hAnsi="Times New Roman" w:eastAsia="微软雅黑"/>
        </w:rPr>
        <w:t>。另一条研究线索正在围绕上述仿真器构建概率工作流——MOOSE 随机工具、物理信息/物理增强神经代理，以及面向安全筛选的数字孪生流水线</w:t>
      </w:r>
      <w:r>
        <w:rPr>
          <w:rFonts w:ascii="Times New Roman" w:hAnsi="Times New Roman" w:eastAsia="微软雅黑"/>
          <w:b/>
          <w:color w:val="CC0000"/>
        </w:rPr>
        <w:t>【ref: MOOSE stochastic tools / PINN 核代理】</w:t>
      </w:r>
      <w:r>
        <w:rPr>
          <w:rFonts w:ascii="Times New Roman" w:hAnsi="Times New Roman" w:eastAsia="微软雅黑"/>
        </w:rPr>
        <w:t>；在 HPR 对象上的相关工作包括高保真耦合求解（Zhang et al. 2024）、面向设计的代理建模（Zhang et al. 2025）以及初步的耦合不确定性研究（Chen et al. 2025）。这三条线索汇聚于同一需求，却未汇聚为同一解决方案：目前仍缺少一个统一的概率计算层，能够在同一耦合框架内同时支撑快速代理预测、前向不确定性传播、全局敏感性归因和观测条件下的后验更新。</w:t>
      </w:r>
    </w:p>
    <w:p>
      <w:r>
        <w:rPr>
          <w:rFonts w:ascii="Times New Roman" w:hAnsi="Times New Roman" w:eastAsia="微软雅黑"/>
          <w:i/>
          <w:color w:val="0055AA"/>
          <w:sz w:val="20"/>
        </w:rPr>
        <w:t>[第三段：空白的意义——高层表述]</w:t>
      </w:r>
    </w:p>
    <w:p>
      <w:r>
        <w:rPr>
          <w:rFonts w:ascii="Times New Roman" w:hAnsi="Times New Roman" w:eastAsia="微软雅黑"/>
        </w:rPr>
        <w:t>This gap matters because uncertainty in HPRs propagates across coupled neutronic, thermal, and structural channels rather than within a single physics. The same material parameter can influence multiple outputs simultaneously, and coupled feedback may either amplify or attenuate the resulting response variability. Risk-oriented analysis therefore requires a coupled probabilistic treatment rather than decoupled or single-physics evaluation; the detailed mechanism chains are deferred to Methods and Discussion.</w:t>
      </w:r>
    </w:p>
    <w:p>
      <w:r>
        <w:rPr>
          <w:rFonts w:ascii="Times New Roman" w:hAnsi="Times New Roman" w:eastAsia="微软雅黑"/>
        </w:rPr>
        <w:t>这一空白之所以重要，是因为 HPR 中的不确定性并非局限于单一物理，而是在耦合的中子、热工和结构通道间同时传播。同一材料参数可同时作用于多个输出量，耦合反馈既可能放大、也可能衰减最终响应变异。因此，风险导向分析必须采用耦合概率处理，而不能依赖解耦或单场评估；具体机制链条留待 Methods 与 Discussion 展开。</w:t>
      </w:r>
    </w:p>
    <w:p>
      <w:r>
        <w:rPr>
          <w:rFonts w:ascii="Times New Roman" w:hAnsi="Times New Roman" w:eastAsia="微软雅黑"/>
          <w:i/>
          <w:color w:val="0055AA"/>
          <w:sz w:val="20"/>
        </w:rPr>
        <w:t>[第四段：工程风险锚点与 131 MPa 筛选阈值]</w:t>
      </w:r>
    </w:p>
    <w:p>
      <w:r>
        <w:rPr>
          <w:rFonts w:ascii="Times New Roman" w:hAnsi="Times New Roman" w:eastAsia="微软雅黑"/>
        </w:rPr>
        <w:t>Structural stress is the practically relevant risk variable in this class of systems. As one representative reported case, design analyses of compact heat-pipe-cooled cores have reported nominal peak stresses on the order of 169 MPa (Zhang et al. 2025), well within the range where material-parameter uncertainty can shift exceedance probability against a design-screening threshold. We adopt 131 MPa as such a screening threshold for the present analysis, and frame the central question as how uncertainty in material properties translates into exceedance risk at that threshold, rather than as point prediction at nominal conditions.</w:t>
      </w:r>
    </w:p>
    <w:p>
      <w:r>
        <w:rPr>
          <w:rFonts w:ascii="Times New Roman" w:hAnsi="Times New Roman" w:eastAsia="微软雅黑"/>
        </w:rPr>
        <w:t>在该类系统中，结构应力是具工程意义的风险变量。作为一个代表性报道案例，紧凑型热管冷却堆芯的设计分析给出约 169 MPa 的标称峰值应力（Zhang et al. 2025），处于材料参数不确定性足以改变超阈概率的量级。本文选取 131 MPa 作为设计筛选阈值，并将核心问题表述为"材料参数不确定性如何转化为该阈值下的超阈风险"，而非标称工况下的点预测。</w:t>
      </w:r>
    </w:p>
    <w:p>
      <w:r>
        <w:rPr>
          <w:rFonts w:ascii="Times New Roman" w:hAnsi="Times New Roman" w:eastAsia="微软雅黑"/>
          <w:i/>
          <w:color w:val="0055AA"/>
          <w:sz w:val="20"/>
        </w:rPr>
        <w:t>[第五段：高保真直接评估与现有代理方法的边界]</w:t>
      </w:r>
    </w:p>
    <w:p>
      <w:r>
        <w:rPr>
          <w:rFonts w:ascii="Times New Roman" w:hAnsi="Times New Roman" w:eastAsia="微软雅黑"/>
        </w:rPr>
        <w:t>Direct evaluation based on repeated high-fidelity simulation is computationally prohibitive: each coupled OpenMC–FEniCS solve requires on the order of 10³ s per sample, so forward Monte Carlo over an 8-dimensional material-parameter space and Bayesian calibration with comparable likelihood counts are both infeasible at the high-fidelity level. Standard surrogates close only part of this gap. Gaussian-process and polynomial-chaos methods become increasingly constrained in strongly nonlinear, moderately high-dimensional coupled settings; physics-informed neural networks are difficult to formulate when the governing structure is expressed through iterative solver exchange rather than a single closed residual; and purely data-driven networks scale but, without calibrated predictive intervals and physical-consistency constraints, cannot carry downstream risk analysis on their own.</w:t>
      </w:r>
    </w:p>
    <w:p>
      <w:r>
        <w:rPr>
          <w:rFonts w:ascii="Times New Roman" w:hAnsi="Times New Roman" w:eastAsia="微软雅黑"/>
        </w:rPr>
        <w:t>直接基于高保真重复求解的评估在计算上不可行：每次 OpenMC–FEniCS 耦合求解约需 10³ 秒，因而在 8 维材料参数空间上进行前向蒙特卡洛传播，以及需要相近量级似然评估的贝叶斯标定，均无法在高保真层面完成。常规代理方法仅能部分弥合这一差距：高斯过程与多项式混沌方法在强非线性、中高维耦合设置下受维度与光滑性假设限制；物理信息神经网络难以为以"迭代求解器交换"而非单一闭合残差表达的控制结构直接构造损失；纯数据驱动神经网络虽具扩展性，但在缺乏校准预测区间与物理一致性约束时，无法独立承担下游风险分析。</w:t>
      </w:r>
    </w:p>
    <w:p>
      <w:r>
        <w:rPr>
          <w:rFonts w:ascii="Times New Roman" w:hAnsi="Times New Roman" w:eastAsia="微软雅黑"/>
          <w:i/>
          <w:color w:val="0055AA"/>
          <w:sz w:val="20"/>
        </w:rPr>
        <w:t>[第六段：本文所做——约束正则化概率代理与端到端不确定性–风险管线]</w:t>
      </w:r>
    </w:p>
    <w:p>
      <w:r>
        <w:rPr>
          <w:rFonts w:ascii="Times New Roman" w:hAnsi="Times New Roman" w:eastAsia="微软雅黑"/>
        </w:rPr>
        <w:t>In this work we develop a constraint-regularized heteroscedastic probabilistic surrogate for uncertainty-to-risk analysis in a coupled neutronics–thermal– structural system, demonstrated on a heat-pipe-cooled reactor. The surrogate is trained on coupled OpenMC–FEniCS data and predicts both response means and input-dependent predictive uncertainties for multiple physics outputs, with monotonicity and inequality structure enforced as differentiable regularization. Around this surrogate we assemble an end-to-end uncertainty-to-risk pipeline combining forward Monte Carlo propagation, Sobol sensitivity with bootstrap confidence intervals, and MCMC posterior calibration. The main contributions are threefold: (1) a constraint-regularized heteroscedastic probabilistic surrogate that jointly predicts means and calibrated predictive intervals for the coupled outputs; (2) a physics-consistent training objective that encodes monotonicity and inequality constraints as gradient penalties without altering base network capacity; and (3) a unified probabilistic computational layer that connects expensive coupled multiphysics simulation to tractable, risk-oriented analysis in safety-critical coupled systems.</w:t>
      </w:r>
    </w:p>
    <w:p>
      <w:r>
        <w:rPr>
          <w:rFonts w:ascii="Times New Roman" w:hAnsi="Times New Roman" w:eastAsia="微软雅黑"/>
        </w:rPr>
        <w:t>本文面向耦合中子–热–力系统，构建了一种约束正则化异方差概率代理模型，并以热管冷却反应堆作为工程验证对象。代理模型基于耦合 OpenMC–FEniCS 数据训练，对多个物理输出同时预测均值与输入依赖的预测不确定性，并以可微正则化形式嵌入单调性与不等式结构。围绕该代理，本文组织端到端的不确定性–风险分析管线，联合前向蒙特卡洛传播、带 Bootstrap 置信区间的 Sobol 敏感性分析与 MCMC 后验标定。主要贡献有三：（1）提出约束正则化异方差概率代理模型，对耦合输出同时给出均值与经校准的预测区间；（2）构建物理一致的训练目标，将单调性与不等式约束以梯度惩罚形式嵌入，不改变基础网络容量；（3）构建统一的概率计算层，将昂贵的耦合多物理仿真衔接至安全敏感耦合系统中可行的风险导向分析。</w:t>
      </w:r>
    </w:p>
    <w:p>
      <w:pPr>
        <w:pStyle w:val="Heading1"/>
      </w:pPr>
      <w:r>
        <w:t>2. 结果 / Results</w:t>
      </w:r>
    </w:p>
    <w:p>
      <w:pPr>
        <w:pStyle w:val="Heading2"/>
      </w:pPr>
      <w:r>
        <w:t>2.1 代理精度 / Surrogate Accuracy</w:t>
      </w:r>
    </w:p>
    <w:p>
      <w:r>
        <w:rPr>
          <w:rFonts w:ascii="Times New Roman" w:hAnsi="Times New Roman" w:eastAsia="微软雅黑"/>
        </w:rPr>
        <w:t xml:space="preserve">The constraint-regularized surrogate is a heteroscedastic MLP whose training objective incorporates physics-consistent monotonicity and inequality gradient penalties; the architecture and loss function are detailed in Methods. The surrogate was evaluated on the held-out test set (n = 435). For the primary safety metric, coupled steady-state maximum global stress, the surrogate achieved R² = 0.9291, RMSE = 7.918 MPa, and MAE = 6.092 MPa. The 90% prediction-interval coverage PICP₉₀ = 0.9471 and mean interval width MPIW₉₀ = 31.96 MPa confirm that the uncertainty estimates are well calibrated (Table 2, Fig. 2A).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the surrogate achieved R² = 0.8752, PICP₉₀ = 0.9793, and MPIW₉₀ = 1.674 × 10⁻³, indicating similarly reliable interval coverage (Table 2).</w:t>
      </w:r>
    </w:p>
    <w:p>
      <w:r>
        <w:rPr>
          <w:rFonts w:ascii="Times New Roman" w:hAnsi="Times New Roman" w:eastAsia="微软雅黑"/>
        </w:rPr>
        <w:t>本文采用的约束正则化代理模型为嵌入单调性与不等式梯度惩罚的异方差 MLP，具体架构与损失函数见方法节。在留出测试集（n = 435）上，耦合稳态最大全局应力的预测精度为 R² = 0.9291，RMSE = 7.918 MPa，MAE = 6.092 MPa；90% 预测区间覆盖率 PICP₉₀ = 0.9471，平均区间宽度 MPIW₉₀ = 31.96 MPa，表明不确定性估计具有良好的校准特性（表 2，图 2A）。</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的预测精度为 R² = 0.8752，PICP₉₀ = 0.9793， MPIW₉₀ = 1.674 × 10⁻³，区间覆盖同样可靠（表 2）。</w:t>
      </w:r>
    </w:p>
    <w:p>
      <w:r>
        <w:rPr>
          <w:rFonts w:ascii="Times New Roman" w:hAnsi="Times New Roman" w:eastAsia="微软雅黑"/>
        </w:rPr>
        <w:t>A cross-model comparison against four alternative training configurations (unconstrained baseline, monotonicity-only, physics-gradient monotonicity, and physics-gradient inequality-only) showed that stress RMSE varies modestly across the five variants, ranging from 7.918 to 8.178 MPa (a spread of 3.3%). The accuracy gains from constraint regularization are therefore incremental rather than transformative. The primary benefit lies in calibration quality: the constraint-regularized surrogate achieves the narrowest MPIW₉₀ of 31.96 MPa while keeping PICP₉₀ within the target 90–95% band (Table 2).</w:t>
      </w:r>
    </w:p>
    <w:p>
      <w:r>
        <w:rPr>
          <w:rFonts w:ascii="Times New Roman" w:hAnsi="Times New Roman" w:eastAsia="微软雅黑"/>
        </w:rPr>
        <w:t>将约束正则化代理与四种替代训练配置（无约束基线、仅单调性、物理梯度单调性、物理梯度不等式）进行跨模型对比，结果表明五种变体的应力 RMSE 差异有限，范围 7.918–8.178 MPa，极差仅 3.3%。约束正则化带来的精度增益是渐进式的，而非颠覆性的。其主要收益体现在校准质量上：约束正则化代理在 PICP₉₀ 保持于 90–95% 目标带内的前提下，实现了最窄的 MPIW₉₀（31.96 MPa）。</w:t>
      </w:r>
    </w:p>
    <w:p>
      <w:r>
        <w:rPr>
          <w:rFonts w:ascii="Times New Roman" w:hAnsi="Times New Roman" w:eastAsia="微软雅黑"/>
          <w:b/>
          <w:color w:val="CC0000"/>
        </w:rPr>
        <w:t>【待决：OOD 段落。Option A：若服务器端复现 ΔR² = +0.170，在此插入 OOD 评估段落。Option B：移至附录，正文仅定性提及 "the constraint-regularized surrogate exhibited improved robustness under α_base extrapolation (Appendix X)"。当前按 Option B 处理。】</w:t>
      </w:r>
    </w:p>
    <w:p>
      <w:r>
        <w:rPr>
          <w:rFonts w:ascii="Times New Roman" w:hAnsi="Times New Roman" w:eastAsia="微软雅黑"/>
        </w:rPr>
        <w:t>The constraint-regularized surrogate was therefore selected as the primary model for all subsequent analyses, primarily on the basis of calibration quality and prediction-interval sharpness on the held-out test set: it achieves the tightest stress PICP₉₀ within the target calibration band and the narrowest prediction intervals without sacrificing coverage. Supplementary observations under out-of-distribution conditions are reported in the Appendix as supporting evidence and do not by themselves drive the model-selection decision.</w:t>
      </w:r>
    </w:p>
    <w:p>
      <w:r>
        <w:rPr>
          <w:rFonts w:ascii="Times New Roman" w:hAnsi="Times New Roman" w:eastAsia="微软雅黑"/>
        </w:rPr>
        <w:t>综合上述结果，约束正则化代理被选为后续全部分析的主模型；该选择主要基于留出测试集上的校准质量与预测区间宽度：其应力 PICP₉₀ 在目标校准带内最优，且在不牺牲覆盖率的前提下实现最窄预测区间。附录另报告了分布外条件下的补充观测，作为辅助支撑证据，并不单独决定模型选择。</w:t>
      </w:r>
    </w:p>
    <w:p>
      <w:r>
        <w:rPr>
          <w:rFonts w:ascii="Times New Roman" w:hAnsi="Times New Roman" w:eastAsia="微软雅黑"/>
          <w:i/>
          <w:color w:val="0055AA"/>
          <w:sz w:val="20"/>
        </w:rPr>
        <w:t>[TABLE 2: 约束正则化代理测试集精度——主要输出量的 R²/RMSE/MAE/PICP₉₀/MPIW₉₀]</w:t>
      </w:r>
    </w:p>
    <w:p>
      <w:r>
        <w:rPr>
          <w:rFonts w:ascii="Times New Roman" w:hAnsi="Times New Roman" w:eastAsia="微软雅黑"/>
          <w:i/>
          <w:color w:val="0055AA"/>
          <w:sz w:val="20"/>
        </w:rPr>
        <w:t>[FIG 2: (A) 应力预测-真值散点图 (B) 五模型 stress RMSE 对比条形图]</w:t>
      </w:r>
    </w:p>
    <w:p>
      <w:pPr>
        <w:pStyle w:val="Heading2"/>
      </w:pPr>
      <w:r>
        <w:t>2.2 前向不确定性传播 / Forward Uncertainty Propagation</w:t>
      </w:r>
    </w:p>
    <w:p>
      <w:r>
        <w:rPr>
          <w:rFonts w:ascii="Times New Roman" w:hAnsi="Times New Roman" w:eastAsia="微软雅黑"/>
        </w:rPr>
        <w:t>Forward propagation of 20,000 Latin hypercube samples through the surrogate mean function (y = μ(θ), isolating parametric uncertainty from surrogate aleatoric noise; see Methods) reveals how multi-physics coupling reshapes the output uncertainty landscape (Table 4, Fig. 3).</w:t>
      </w:r>
    </w:p>
    <w:p>
      <w:r>
        <w:rPr>
          <w:rFonts w:ascii="Times New Roman" w:hAnsi="Times New Roman" w:eastAsia="微软雅黑"/>
        </w:rPr>
        <w:t>对 20,000 个拉丁超立方样本通过代理均值函数（y = μ(θ)，隔离参数不确定性与代理偶然噪声；详见方法节）的前向传播，揭示了多物理耦合如何重塑输出不确定性格局（表 4，图 3）。</w:t>
      </w:r>
    </w:p>
    <w:p>
      <w:r>
        <w:rPr>
          <w:rFonts w:ascii="Times New Roman" w:hAnsi="Times New Roman" w:eastAsia="微软雅黑"/>
        </w:rPr>
        <w:t>For coupled steady-state stress, the prior-predictive distribution has a mean of 162.63 MPa and standard deviation of 30.47 MPa. The corresponding decoupled (single-pass) prediction has a mean of 205.03 MPa and standard deviation of 42.92 MPa. The coupling feedback reduces the stress standard deviation by 29.0% (from 42.92 to 30.47 MPa), suggesting that multi-physics coupling attenuates a substantial fraction of the material-parameter-driven stress variability that a decoupled analysis would predict.</w:t>
      </w:r>
    </w:p>
    <w:p>
      <w:r>
        <w:rPr>
          <w:rFonts w:ascii="Times New Roman" w:hAnsi="Times New Roman" w:eastAsia="微软雅黑"/>
        </w:rPr>
        <w:t>耦合稳态应力的先验预测分布均值为 162.63 MPa，标准差 30.47 MPa。对应的解耦（单轮）预测均值为 205.03 MPa，标准差 42.92 MPa。耦合反馈使应力标准差降低 29.0%（从 42.92 降至 30.47 MPa），表明多物理耦合衰减了解耦分析所预测的材料参数驱动应力变异中相当一部分。</w:t>
      </w:r>
    </w:p>
    <w:p>
      <w:r>
        <w:rPr>
          <w:rFonts w:ascii="Times New Roman" w:hAnsi="Times New Roman" w:eastAsia="微软雅黑"/>
        </w:rPr>
        <w:t xml:space="preserve">For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the standard deviation is 6.59 × 10⁻⁴ (approximately 66 pcm), with a mean of 1.103558. Under the current LHS design, the first-iteration (decoupled)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is effectively constant across all samples (standard deviation ~5 × 10⁻¹⁴), because the 8 sampled material parameters do not enter the neutron cross-section tables at the reference geometry. The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variability is therefore attributable to thermo-mechanical feedback: thermal expansion modifies core geometry, which is expected to affect neutron leakage and produce the observed 66-pcm spread. No decoupled-to-coupled compression ratio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is quoted, as the decoupled value carries no meaningful parametric uncertainty.</w:t>
      </w:r>
    </w:p>
    <w:p>
      <w:r>
        <w:rPr>
          <w:rFonts w:ascii="Times New Roman" w:hAnsi="Times New Roman" w:eastAsia="微软雅黑"/>
        </w:rPr>
        <w:t xml:space="preserve">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标准差为 6.59 × 10⁻⁴（约 66 pcm），均值 1.103558。在当前 LHS 设计下，第一轮（解耦）</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在所有样本中实质上为常数（标准差约 5 × 10⁻¹⁴），因为 8 个采样的材料参数在参考几何条件下不进入中子截面表。因此耦合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的变异可归因于热力反馈：热膨胀改变堆芯几何形状，预期将影响中子泄漏，产生观测到的 66 pcm 展宽。由于解耦值不携带有意义的参数不确定性，不引用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的解耦–耦合压缩比。</w:t>
      </w:r>
    </w:p>
    <w:p>
      <w:r>
        <w:rPr>
          <w:rFonts w:ascii="Times New Roman" w:hAnsi="Times New Roman" w:eastAsia="微软雅黑"/>
        </w:rPr>
        <w:t>The exceedance probabilities P(σ &gt; τ) at a range of design-screening thresholds provide a direct risk characterisation:</w:t>
      </w:r>
    </w:p>
    <w:p>
      <w:r>
        <w:rPr>
          <w:rFonts w:ascii="Times New Roman" w:hAnsi="Times New Roman" w:eastAsia="微软雅黑"/>
        </w:rPr>
        <w:t>不同设计筛选阈值下的超阈概率 P(σ &gt; τ) 提供直接的风险表征：</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eastAsia="微软雅黑"/>
                <w:b/>
              </w:rPr>
              <w:t>τ (MPa)</w:t>
            </w:r>
          </w:p>
        </w:tc>
        <w:tc>
          <w:tcPr>
            <w:tcW w:type="dxa" w:w="4320"/>
          </w:tcPr>
          <w:p>
            <w:r>
              <w:rPr>
                <w:rFonts w:ascii="Times New Roman" w:hAnsi="Times New Roman" w:eastAsia="微软雅黑"/>
                <w:b/>
              </w:rPr>
              <w:t>P(σ &gt; τ)</w:t>
            </w:r>
          </w:p>
        </w:tc>
      </w:tr>
      <w:tr>
        <w:tc>
          <w:tcPr>
            <w:tcW w:type="dxa" w:w="4320"/>
          </w:tcPr>
          <w:p>
            <w:r>
              <w:t>110</w:t>
            </w:r>
          </w:p>
        </w:tc>
        <w:tc>
          <w:tcPr>
            <w:tcW w:type="dxa" w:w="4320"/>
          </w:tcPr>
          <w:p>
            <w:r>
              <w:t>0.9663</w:t>
            </w:r>
          </w:p>
        </w:tc>
      </w:tr>
      <w:tr>
        <w:tc>
          <w:tcPr>
            <w:tcW w:type="dxa" w:w="4320"/>
          </w:tcPr>
          <w:p>
            <w:r>
              <w:t>120</w:t>
            </w:r>
          </w:p>
        </w:tc>
        <w:tc>
          <w:tcPr>
            <w:tcW w:type="dxa" w:w="4320"/>
          </w:tcPr>
          <w:p>
            <w:r>
              <w:t>0.9270</w:t>
            </w:r>
          </w:p>
        </w:tc>
      </w:tr>
      <w:tr>
        <w:tc>
          <w:tcPr>
            <w:tcW w:type="dxa" w:w="4320"/>
          </w:tcPr>
          <w:p>
            <w:r>
              <w:t>131</w:t>
            </w:r>
          </w:p>
        </w:tc>
        <w:tc>
          <w:tcPr>
            <w:tcW w:type="dxa" w:w="4320"/>
          </w:tcPr>
          <w:p>
            <w:r>
              <w:t>0.8531</w:t>
            </w:r>
          </w:p>
        </w:tc>
      </w:tr>
      <w:tr>
        <w:tc>
          <w:tcPr>
            <w:tcW w:type="dxa" w:w="4320"/>
          </w:tcPr>
          <w:p>
            <w:r>
              <w:t>169</w:t>
            </w:r>
          </w:p>
        </w:tc>
        <w:tc>
          <w:tcPr>
            <w:tcW w:type="dxa" w:w="4320"/>
          </w:tcPr>
          <w:p>
            <w:r>
              <w:t>0.4006</w:t>
            </w:r>
          </w:p>
        </w:tc>
      </w:tr>
      <w:tr>
        <w:tc>
          <w:tcPr>
            <w:tcW w:type="dxa" w:w="4320"/>
          </w:tcPr>
          <w:p>
            <w:r>
              <w:t>200</w:t>
            </w:r>
          </w:p>
        </w:tc>
        <w:tc>
          <w:tcPr>
            <w:tcW w:type="dxa" w:w="4320"/>
          </w:tcPr>
          <w:p>
            <w:r>
              <w:t>0.1113</w:t>
            </w:r>
          </w:p>
        </w:tc>
      </w:tr>
    </w:tbl>
    <w:p/>
    <w:p>
      <w:r>
        <w:rPr>
          <w:rFonts w:ascii="Times New Roman" w:hAnsi="Times New Roman" w:eastAsia="微软雅黑"/>
        </w:rPr>
        <w:t>At the 131 MPa design-screening threshold, 85.3% of prior samples exceed the threshold — indicating that under the ±10% prior uncertainty in material parameters, exceedance is the expected rather than exceptional outcome. At 169 MPa — the nominal peak stress reported by Zhang et al. (2025) — approximately 40% of samples still exceed this level, and 11% exceed 200 MPa.</w:t>
      </w:r>
    </w:p>
    <w:p>
      <w:r>
        <w:rPr>
          <w:rFonts w:ascii="Times New Roman" w:hAnsi="Times New Roman" w:eastAsia="微软雅黑"/>
        </w:rPr>
        <w:t>在 131 MPa 设计筛选阈值处，85.3% 的先验样本超过阈值——确认在材料参数 ±10% 先验不确定性下，超阈为预期结果。在 Zhang et al.（2025）报道的标称峰值应力 169 MPa 处，约 40% 的样本仍超过此水平，11% 超过 200 MPa。</w:t>
      </w:r>
    </w:p>
    <w:p>
      <w:r>
        <w:rPr>
          <w:rFonts w:ascii="Times New Roman" w:hAnsi="Times New Roman" w:eastAsia="微软雅黑"/>
          <w:i/>
          <w:color w:val="0055AA"/>
          <w:sz w:val="20"/>
        </w:rPr>
        <w:t>[TABLE 4: 前向 UQ 统计——应力和 keff 的均值/标准差/超阈概率]</w:t>
      </w:r>
    </w:p>
    <w:p>
      <w:r>
        <w:rPr>
          <w:rFonts w:ascii="Times New Roman" w:hAnsi="Times New Roman" w:eastAsia="微软雅黑"/>
          <w:i/>
          <w:color w:val="0055AA"/>
          <w:sz w:val="20"/>
        </w:rPr>
        <w:t>[FIG 3: (A) 应力直方图：解耦 vs 耦合 (B) 耦合 keff 分布 + 阈值线]</w:t>
      </w:r>
    </w:p>
    <w:p>
      <w:pPr>
        <w:pStyle w:val="Heading2"/>
      </w:pPr>
      <w:r>
        <w:t>2.3 全局敏感性分析 / Global Sensitivity Analysis</w:t>
      </w:r>
    </w:p>
    <w:p>
      <w:r>
        <w:rPr>
          <w:rFonts w:ascii="Times New Roman" w:hAnsi="Times New Roman" w:eastAsia="微软雅黑"/>
        </w:rPr>
        <w:t>Sobol variance-based sensitivity analysis (Saltelli sampling, Jansen estimator, N = 4096, 50 independent replications; see Methods) identified distinct dominant pathways for the two primary outputs (Table 5, Fig. 4).</w:t>
      </w:r>
    </w:p>
    <w:p>
      <w:r>
        <w:rPr>
          <w:rFonts w:ascii="Times New Roman" w:hAnsi="Times New Roman" w:eastAsia="微软雅黑"/>
        </w:rPr>
        <w:t>基于方差的 Sobol 敏感性分析（Saltelli 采样、Jansen 估计量、N = 4096、50 次独立重复；详见方法节）识别出两个主要输出的不同主导路径（表 5，图 4）。</w:t>
      </w:r>
    </w:p>
    <w:p>
      <w:r>
        <w:rPr>
          <w:rFonts w:ascii="Times New Roman" w:hAnsi="Times New Roman" w:eastAsia="微软雅黑"/>
        </w:rPr>
        <w:t xml:space="preserve">For coupled steady-state stress,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is the dominant first-order factor (S₁ = 0.586, 90% CI: [0.584, 0.588]), accounting for approximately 59% of the variance.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ranks second (S₁ = 0.169, CI: [0.165, 0.172]), and ν ranks third (S₁ = 0.064, CI: [0.060, 0.067]). The remaining five inputs have S₁ confidence intervals approaching or including zero; in particular,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has a CI that crosses zero ([-0.001, 0.005]) and is not treated as a stable contributor. The total-order index for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(S_T = 0.600) exceeds S₁ by only 0.014, confirming that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affects stress primarily through a direct, independent mechanical channel with limited higher-order interaction.</w:t>
      </w:r>
    </w:p>
    <w:p>
      <w:r>
        <w:rPr>
          <w:rFonts w:ascii="Times New Roman" w:hAnsi="Times New Roman" w:eastAsia="微软雅黑"/>
        </w:rPr>
        <w:t>耦合稳态应力：</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是最主导的一阶因子（S₁ = 0.586，90% CI： [0.584, 0.588]），占方差的约 59%。</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居第二（S₁ = 0.169，CI： [0.165, 0.172]），ν 第三（S₁ = 0.064，CI：[0.060, 0.067]）。其余 5 个输入的 S₁ 置信区间接近或包含零；其中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的 CI 跨零（[-0.001, 0.005]），不被视为稳定贡献因子。</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的总阶指数（S_T = 0.600）仅比 S₁ 高 0.014，确认其主要通过直接、独立的力学通道影响应力，高阶交互作用有限。</w:t>
      </w:r>
    </w:p>
    <w:p>
      <w:r>
        <w:rPr>
          <w:rFonts w:ascii="Times New Roman" w:hAnsi="Times New Roman" w:eastAsia="微软雅黑"/>
        </w:rPr>
        <w:t xml:space="preserve">For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is the single dominant factor (S₁ = 0.775), followed by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as a secondary contributor (S₁ ≈ 0.198). The remaining six inputs have small S₁ values with confidence intervals including zero. The dominance of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reflects that thermal expansion governs core geometry — and thereby neutron leakage probability — which is the principal physical mechanism determining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variation.</w:t>
      </w:r>
    </w:p>
    <w:p>
      <w:r>
        <w:rPr>
          <w:rFonts w:ascii="Times New Roman" w:hAnsi="Times New Roman" w:eastAsia="微软雅黑"/>
        </w:rPr>
        <w:t xml:space="preserve">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是唯一主控因子（S₁ = 0.775），</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为次级贡献者（S₁ ≈ 0.198）。其余 6 个参数的 S₁ 值较小且置信区间包含零。</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的主导性反映热膨胀控制堆芯几何形状——进而控制中子泄漏概率——这是决定耦合稳态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变异的主要物理机制。</w:t>
      </w:r>
    </w:p>
    <w:p>
      <w:r>
        <w:rPr>
          <w:rFonts w:ascii="Times New Roman" w:hAnsi="Times New Roman" w:eastAsia="微软雅黑"/>
        </w:rPr>
        <w:t xml:space="preserve">The separation of dominant factors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for stress,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with limited cross-interaction (S_T − S₁ &lt; 0.03 for both) — indicates that the two primary outputs are governed by largely non-overlapping physical pathways at the dominant-factor level.</w:t>
      </w:r>
    </w:p>
    <w:p>
      <w:r>
        <w:rPr>
          <w:rFonts w:ascii="Times New Roman" w:hAnsi="Times New Roman" w:eastAsia="微软雅黑"/>
        </w:rPr>
        <w:t>主控因子的分离——</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主导应力、</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主导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，交叉作用有限（两者 S_T − S₁ 均 &lt; 0.03）——表明两个主要输出在主控因子层面由基本不重叠的物理路径支配。</w:t>
      </w:r>
    </w:p>
    <w:p>
      <w:r>
        <w:rPr>
          <w:rFonts w:ascii="Times New Roman" w:hAnsi="Times New Roman" w:eastAsia="微软雅黑"/>
          <w:i/>
          <w:color w:val="0055AA"/>
          <w:sz w:val="20"/>
        </w:rPr>
        <w:t>[TABLE 5: Sobol 一阶指数 S₁（90% CI）——仅列 CI 下界 &gt; 0 的因子]</w:t>
      </w:r>
    </w:p>
    <w:p>
      <w:r>
        <w:rPr>
          <w:rFonts w:ascii="Times New Roman" w:hAnsi="Times New Roman" w:eastAsia="微软雅黑"/>
          <w:i/>
          <w:color w:val="0055AA"/>
          <w:sz w:val="20"/>
        </w:rPr>
        <w:t>[FIG 4: (A) 应力一阶指数 (B) keff 一阶指数]</w:t>
      </w:r>
    </w:p>
    <w:p>
      <w:pPr>
        <w:pStyle w:val="Heading2"/>
      </w:pPr>
      <w:r>
        <w:t>2.4 后验标定 / Posterior Calibration</w:t>
      </w:r>
    </w:p>
    <w:p>
      <w:r>
        <w:rPr>
          <w:rFonts w:ascii="Times New Roman" w:hAnsi="Times New Roman" w:eastAsia="微软雅黑"/>
        </w:rPr>
        <w:t>MCMC posterior calibration (Metropolis-Hastings, 8000 iterations, burn-in 2000, thinning 5, proposal scale 0.40; see Methods) was performed on 18 benchmark cases drawn from the test split (6 low-stress / 6 near-threshold / 6 high-stress, stress range 102–198 MPa) and 10 extreme-stress feasibility-check cases (true stress 133–194 MPa, all exceeding 131 MPa). Acceptance rates ranged from 0.487 to 0.592; trace-plot inspection confirmed stationarity after burn-in (Fig. A1).</w:t>
      </w:r>
    </w:p>
    <w:p>
      <w:r>
        <w:rPr>
          <w:rFonts w:ascii="Times New Roman" w:hAnsi="Times New Roman" w:eastAsia="微软雅黑"/>
        </w:rPr>
        <w:t>MCMC 后验标定（Metropolis-Hastings，8000 步迭代，烧入 2000，抽稀 5，提议尺度 0.40；详见方法节）在 18 个基准案例（来自测试集，6 低应力 / 6 近阈值 / 6 高应力，应力范围 102–198 MPa）和 10 个极端应力可行性检验案例（真实应力 133–194 MPa，均超 131 MPa）上执行。接受率 0.487–0.592；trace plot 确认烧入后平稳（图 A1）。</w:t>
      </w:r>
    </w:p>
    <w:p>
      <w:r>
        <w:rPr>
          <w:rFonts w:ascii="Times New Roman" w:hAnsi="Times New Roman" w:eastAsia="微软雅黑"/>
        </w:rPr>
        <w:t>Across the 18 benchmark cases, the posterior 90%-CI coverage for the four calibrated parameters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was 0.8750, indicating that the posterior distributions encompass the true parameter values at approximately the nominal rate.</w:t>
      </w:r>
    </w:p>
    <w:p>
      <w:r>
        <w:rPr>
          <w:rFonts w:ascii="Times New Roman" w:hAnsi="Times New Roman" w:eastAsia="微软雅黑"/>
        </w:rPr>
        <w:t>18 个基准案例中，4 个标定参数（</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）的后验 90%-CI 覆盖率为 0.8750，表明后验分布以接近标称水平的比例涵盖真实参数值。</w:t>
      </w:r>
    </w:p>
    <w:p>
      <w:r>
        <w:rPr>
          <w:rFonts w:ascii="Times New Roman" w:hAnsi="Times New Roman" w:eastAsia="微软雅黑"/>
        </w:rPr>
        <w:t xml:space="preserve">The marginal posteriors exhibited non-Gaussian features consistent with the multiplicative stress structure σ ∝ E · α · ΔT. For high-stress cases,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shifted toward higher values (consistent with the Sobol attribution that higher stiffness produces higher stress), and the joint posterior of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and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showed a compensation ridge reflecting structural non-identifiability in the product form.</w:t>
      </w:r>
    </w:p>
    <w:p>
      <w:r>
        <w:rPr>
          <w:rFonts w:ascii="Times New Roman" w:hAnsi="Times New Roman" w:eastAsia="微软雅黑"/>
        </w:rPr>
        <w:t xml:space="preserve">边际后验呈现与乘积应力结构 σ ∝ E · α · ΔT 一致的非高斯特征。高应力案例中，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向高值偏移（与 Sobol 归因一致），</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和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的联合后验呈现反映乘积形式结构不可识别性的补偿脊。</w:t>
      </w:r>
    </w:p>
    <w:p>
      <w:r>
        <w:rPr>
          <w:rFonts w:ascii="Times New Roman" w:hAnsi="Times New Roman" w:eastAsia="微软雅黑"/>
        </w:rPr>
        <w:t>For the 10 feasibility-check cases (all with true stress &gt; 131 MPa), the posterior exceedance probability P(σ &gt; 131 MPa | observations) ranged from 0.604 to 1.000, with 4 of 10 cases at P = 1.0. Under a feasibility gate requiring P(σ &lt; 131 MPa) ≥ 0.9, none of the 10 cases passed, indicating that the posterior excluded all high-stress configurations from the feasible set. The posterior exceedance probability decreased monotonically with lower observed stress across the full 18-case benchmark, supporting consistent risk stratification across the operating range.</w:t>
      </w:r>
    </w:p>
    <w:p>
      <w:r>
        <w:rPr>
          <w:rFonts w:ascii="Times New Roman" w:hAnsi="Times New Roman" w:eastAsia="微软雅黑"/>
        </w:rPr>
        <w:t>10 个可行性检验案例（真实应力均 &gt; 131 MPa）中，后验超阈概率 P(σ &gt; 131 MPa | 观测) 范围 0.604–1.000，其中 4 例 P = 1.0。在要求 P(σ &lt; 131 MPa) ≥ 0.9 的可行性门限下，10 例均未通过，表明后验将所有高应力配置排除在可行集之外。后验超阈概率在完整 18 例基准中随观测应力降低单调递减，支持全运行范围内风险分层的一致性。</w:t>
      </w:r>
    </w:p>
    <w:p>
      <w:r>
        <w:rPr>
          <w:rFonts w:ascii="Times New Roman" w:hAnsi="Times New Roman" w:eastAsia="微软雅黑"/>
          <w:b/>
          <w:color w:val="CC0000"/>
        </w:rPr>
        <w:t>【待决：后验均值处代理应力 MAE &lt; 6 MPa 的声明。feasible_region.csv 已验证 MAE = 4.16 MPa（10 例），但 benchmark_summary.csv 不含代理应力预测。Option A：仅报告 feasible 10 例的 4.16 MPa；Option B：加载模型重新计算 18 例后报告。当前按 Option A 处理：】</w:t>
      </w:r>
    </w:p>
    <w:p>
      <w:r>
        <w:rPr>
          <w:rFonts w:ascii="Times New Roman" w:hAnsi="Times New Roman" w:eastAsia="微软雅黑"/>
        </w:rPr>
        <w:t>The surrogate stress prediction at the posterior-mean parameters closely tracked the true stress for the feasibility-check cases (MAE = 4.16 MPa across 10 cases), suggesting that the posterior shifted toward an observation-compatible region of the parameter space.</w:t>
      </w:r>
    </w:p>
    <w:p>
      <w:r>
        <w:rPr>
          <w:rFonts w:ascii="Times New Roman" w:hAnsi="Times New Roman" w:eastAsia="微软雅黑"/>
        </w:rPr>
        <w:t>可行性检验案例中，后验均值参数处的代理应力预测与真实应力吻合度较高（10 例 MAE = 4.16 MPa），表明后验向与观测相容的参数区域收敛。</w:t>
      </w:r>
    </w:p>
    <w:p>
      <w:r>
        <w:rPr>
          <w:rFonts w:ascii="Times New Roman" w:hAnsi="Times New Roman" w:eastAsia="微软雅黑"/>
          <w:i/>
          <w:color w:val="0055AA"/>
          <w:sz w:val="20"/>
        </w:rPr>
        <w:t>[TABLE 6: 后验标定汇总——18 例覆盖率 + 10 例超阈概率]</w:t>
      </w:r>
    </w:p>
    <w:p>
      <w:r>
        <w:rPr>
          <w:rFonts w:ascii="Times New Roman" w:hAnsi="Times New Roman" w:eastAsia="微软雅黑"/>
          <w:i/>
          <w:color w:val="0055AA"/>
          <w:sz w:val="20"/>
        </w:rPr>
        <w:t>[FIG 5: (A) 后验均值预测 vs 真实应力 (B) 先验/后验预测分布对比] 【待生成：FIG 5C E_intercept–α_base 联合后验密度图。需运行 plot_posterior_joint.py 或等价绘图脚本。标注为 【FIG 5C 待生成】】</w:t>
      </w:r>
    </w:p>
    <w:p>
      <w:pPr>
        <w:pStyle w:val="Heading2"/>
      </w:pPr>
      <w:r>
        <w:t>2.5 直接高保真验证 / Direct High-Fidelity Spot-Check</w:t>
      </w:r>
    </w:p>
    <w:p>
      <w:r>
        <w:rPr>
          <w:rFonts w:ascii="Times New Roman" w:hAnsi="Times New Roman" w:eastAsia="微软雅黑"/>
        </w:rPr>
        <w:t>To assess whether the posterior-inferred parameter vectors produce physically consistent outputs when re-evaluated by the coupled solver, five cases were selected for direct HF re-evaluation at their posterior-mean parameter values. These comprised three strictly new LHS points not present in the surrogate training or test sets, one point originally yielding NaN in the dataset (refilled via HF rerun), and one exact reproduction of an existing dataset row.</w:t>
      </w:r>
    </w:p>
    <w:p>
      <w:r>
        <w:rPr>
          <w:rFonts w:ascii="Times New Roman" w:hAnsi="Times New Roman" w:eastAsia="微软雅黑"/>
        </w:rPr>
        <w:t>为评估后验推断的参数向量在耦合求解器中重新评估时是否产生物理一致的输出，选取 5 个案例在其后验均值参数处进行直接高保真重评估。其中包括 3 个不在代理训练集或测试集中的全新 LHS 采样点、1 个原始数据集中迭代二输出为 NaN 的样本（通过 HF 重运行补充）、以及 1 个对已有数据行的精确复现。</w:t>
      </w:r>
    </w:p>
    <w:p>
      <w:r>
        <w:rPr>
          <w:rFonts w:ascii="Times New Roman" w:hAnsi="Times New Roman" w:eastAsia="微软雅黑"/>
        </w:rPr>
        <w:t xml:space="preserve">Across the five cases, the stress MAE was 0.70 MPa and RMSE was 0.86 MPa, with a mean bias of +0.10 MPa — all well within the surrogate's predicted standard deviation and comparable to the HF solver's own numerical noise floor (~0.11 MPa).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MAE was 25.8 pcm and RMSE was 27.4 pcm; all five cases fell within one predicted standard deviation.</w:t>
      </w:r>
    </w:p>
    <w:p>
      <w:r>
        <w:rPr>
          <w:rFonts w:ascii="Times New Roman" w:hAnsi="Times New Roman" w:eastAsia="微软雅黑"/>
        </w:rPr>
        <w:t>五个案例中，应力 MAE = 0.70 MPa，RMSE = 0.86 MPa，平均偏差 +0.10 MPa——均远在代理预测标准差之内，且与高保真求解器自身数值噪声水平（约 0.11 MPa）可比。</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：MAE = 25.8 pcm，RMSE = 27.4 pcm；五例均落入一个预测标准差之内。</w:t>
      </w:r>
    </w:p>
    <w:p>
      <w:r>
        <w:rPr>
          <w:rFonts w:ascii="Times New Roman" w:hAnsi="Times New Roman" w:eastAsia="微软雅黑"/>
        </w:rPr>
        <w:t>This spot-check provides evidence that the surrogate's posterior-mean predictions are physically realisable by the coupled solver, but it is limited in scope: five cases do not constitute a comprehensive external validation, and the points were selected to span the risk spectrum rather than by random sampling. The results are presented as a consistency check supporting the posterior calibration findings of Section 2.4, not as a standalone validation of surrogate generalisation.</w:t>
      </w:r>
    </w:p>
    <w:p>
      <w:r>
        <w:rPr>
          <w:rFonts w:ascii="Times New Roman" w:hAnsi="Times New Roman" w:eastAsia="微软雅黑"/>
        </w:rPr>
        <w:t>该抽查为代理后验均值预测在耦合求解器中的物理可实现性提供了证据，但其范围有限：五个案例不构成全面的外部验证，且选点以覆盖风险谱为目标而非随机采样。结果作为支持第 2.4 节后验标定发现的一致性检验呈现，不作为代理泛化能力的独立验证。</w:t>
      </w:r>
    </w:p>
    <w:p>
      <w:r>
        <w:rPr>
          <w:rFonts w:ascii="Times New Roman" w:hAnsi="Times New Roman" w:eastAsia="微软雅黑"/>
          <w:b/>
          <w:color w:val="CC0000"/>
        </w:rPr>
        <w:t>【待补：Plan A/B 扩展 HF rerun 完成后，更新案例数和统计量。当前 5 例来自已归档运行（hf_rerun_summary.json）。Plan A 将新增 3 例（低/近阈值/高风险）， Plan B 新增 5 例。】</w:t>
      </w:r>
    </w:p>
    <w:p>
      <w:pPr>
        <w:pStyle w:val="Heading1"/>
      </w:pPr>
      <w:r>
        <w:t>3. 讨论 / Discussion</w:t>
      </w:r>
    </w:p>
    <w:p>
      <w:pPr>
        <w:pStyle w:val="Heading2"/>
      </w:pPr>
      <w:r>
        <w:t>3.1 耦合反馈与不确定性压缩 / Coupling Feedback and Uncertainty Compression</w:t>
      </w:r>
    </w:p>
    <w:p>
      <w:r>
        <w:rPr>
          <w:rFonts w:ascii="Times New Roman" w:hAnsi="Times New Roman" w:eastAsia="微软雅黑"/>
        </w:rPr>
        <w:t xml:space="preserve">The 29% reduction in stress standard deviation from the decoupled to the coupled steady-state — a direct file-supported result of the forward UQ — is consistent with the type of negative feedback commonly described for compact coupled reactor systems. One plausible interpretation, offered here as a physically motivated inference rather than as a causally validated decomposition, is the following: higher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leads to greater thermal expansion and altered core geometry, which shifts neutron leakage and the spatial power distribution, which in turn partially offsets thermal loading. We emphasize two boundaries on this interpretation. First, the relative contribution of each intermediate step cannot be isolated from the surrogate's input–output map alone and has not been verified by a stepwise-decoupled numerical experiment. Second, under steady-state operation with heat-pipe removal capacity as the dominant thermal constraint, the relevant feedback is expected to act primarily through spatial redistribution of power density rather than through a bulk reduction of total power. What the surrogate-based forward UQ does establish is the net effect on the output uncertainty distribution — information that is inaccessible from single-physics or decoupled analyses alone.</w:t>
      </w:r>
    </w:p>
    <w:p>
      <w:r>
        <w:rPr>
          <w:rFonts w:ascii="Times New Roman" w:hAnsi="Times New Roman" w:eastAsia="微软雅黑"/>
        </w:rPr>
        <w:t>从解耦到耦合稳态应力标准差降低 29%——这是前向 UQ 给出的直接可追溯结果——与紧凑耦合反应堆系统中常见的负反馈类型相一致。一种合理的物理解释是：</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升高 → 热膨胀增大 → 堆芯几何改变 → 中子泄漏与空间功率分布变化 → 热载荷被部分抵消；这一解释在本文中作为受物理驱动的推断给出，而非经严格因果分解验证的结论。对该解释需强调两点边界：其一，各中间步骤的相对贡献不能仅凭代理的输入–输出映射分离，也未通过逐步解耦数值实验独立验证；其二，在以热管散热能力为主控约束的稳态下，该反馈预期主要通过功率密度的空间重分布起作用，而不一定表现为总功率的整体降低。代理前向 UQ 所确立的是耦合对输出不确定性分布的净效应——这一信息在单物理或解耦分析中不可获取。</w:t>
      </w:r>
    </w:p>
    <w:p>
      <w:r>
        <w:rPr>
          <w:rFonts w:ascii="Times New Roman" w:hAnsi="Times New Roman" w:eastAsia="微软雅黑"/>
        </w:rPr>
        <w:t>A practical implication is that performing uncertainty propagation at the decoupled level would overestimate tail stress risk. For safety-margin characterisation, this overestimate is conservative — it would not lead to unsafe decisions — but it would inflate the apparent safety penalty associated with material-property uncertainty, potentially leading to unnecessarily restrictive manufacturing tolerances.</w:t>
      </w:r>
    </w:p>
    <w:p>
      <w:r>
        <w:rPr>
          <w:rFonts w:ascii="Times New Roman" w:hAnsi="Times New Roman" w:eastAsia="微软雅黑"/>
        </w:rPr>
        <w:t>实际含义是在解耦层次开展不确定性传播将高估尾部应力风险。对安全裕量表征，该高估是保守的——不会导致不安全决策——但会夸大与材料不确定性相关的安全惩罚，可能导致不必要的严格制造公差。</w:t>
      </w:r>
    </w:p>
    <w:p>
      <w:r>
        <w:rPr>
          <w:rFonts w:ascii="Times New Roman" w:hAnsi="Times New Roman" w:eastAsia="微软雅黑"/>
        </w:rPr>
        <w:t>Chen et al. (2025, 核动力工程) observed qualitatively similar coupling-driven uncertainty effects in their HPR analysis; the present work extends this by providing quantitative characterisation through the surrogate framework.</w:t>
      </w:r>
    </w:p>
    <w:p>
      <w:r>
        <w:rPr>
          <w:rFonts w:ascii="Times New Roman" w:hAnsi="Times New Roman" w:eastAsia="微软雅黑"/>
        </w:rPr>
        <w:t>Chen et al.（2025, 核动力工程）在其 HPR 分析中观察到定性上类似的耦合驱动不确定性效应；本文通过代理框架将其扩展为定量表征。</w:t>
      </w:r>
    </w:p>
    <w:p>
      <w:pPr>
        <w:pStyle w:val="Heading2"/>
      </w:pPr>
      <w:r>
        <w:t>3.2 物理正则化与模型选择 / Physics Regularization and Model Selection</w:t>
      </w:r>
    </w:p>
    <w:p>
      <w:r>
        <w:rPr>
          <w:rFonts w:ascii="Times New Roman" w:hAnsi="Times New Roman" w:eastAsia="微软雅黑"/>
        </w:rPr>
        <w:t>The selection of the constraint-regularized surrogate over the unconstrained baseline is supported by two primary lines of evidence on the held-out test set: (i) comparable in-distribution accuracy (stress R² differing by +0.001); and (ii) improved calibration quality (PICP₉₀ closer to the 0.90 target with narrower intervals). Supplementary appendix observations further indicate qualitatively improved behaviour under out-of-distribution conditions, but these observations are reported as supporting evidence rather than as an independent decision criterion. The regularization does not introduce a performance trade-off at the training distribution but provides a safety net against physically implausible predictions in data-sparse regions — a property that becomes critical when the surrogate is used for posterior calibration, where the MCMC sampler may propose parameter values near the boundary of the training domain.</w:t>
      </w:r>
    </w:p>
    <w:p>
      <w:r>
        <w:rPr>
          <w:rFonts w:ascii="Times New Roman" w:hAnsi="Times New Roman" w:eastAsia="微软雅黑"/>
        </w:rPr>
        <w:t>选择约束正则化代理而非无约束基线，主要基于留出测试集上的两条证据：(i) 分布内精度相当（应力 R² 差异 +0.001）；(ii) 校准质量提升（PICP₉₀ 更接近 0.90 目标且区间更窄）。附录另观察到分布外条件下定性上更稳健的表现，但该观察作为辅助支撑证据，不作为独立的模型选择依据。正则化在训练分布处不引入性能折衷，但为数据稀疏区域的物理不合理预测提供安全网——当代理用于后验标定（MCMC 采样器可能提议训练域边界处的参数值）时，这一属性至关重要。</w:t>
      </w:r>
    </w:p>
    <w:p>
      <w:pPr>
        <w:pStyle w:val="Heading2"/>
      </w:pPr>
      <w:r>
        <w:t>3.3 工程含义 / Engineering Implications</w:t>
      </w:r>
    </w:p>
    <w:p>
      <w:r>
        <w:rPr>
          <w:rFonts w:ascii="Times New Roman" w:hAnsi="Times New Roman" w:eastAsia="微软雅黑"/>
        </w:rPr>
        <w:t xml:space="preserve">The Sobol pathway separation — stress dominated by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(S₁ ≈ 0.59),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dominated by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(S₁ ≈ 0.78) — has concrete engineering implications. For stress risk reduction, the highest leverage lies in tightening the manufacturing tolerance of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targeting approximately 60% of stress variance. For reactivity stability, the primary lever is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uncertainty control. Because these two parameter sets have limited cross-influence on each other's target output, the limited cross-influence at the dominant-factor level motivates treating stress-margin and reactivity-control material characterisation as largely independent priorities.</w:t>
      </w:r>
    </w:p>
    <w:p>
      <w:r>
        <w:rPr>
          <w:rFonts w:ascii="Times New Roman" w:hAnsi="Times New Roman" w:eastAsia="微软雅黑"/>
        </w:rPr>
        <w:t xml:space="preserve">Sobol 路径分离——应力由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主导（S₁ ≈ 0.59），</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由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主导（S₁ ≈ 0.78）——具有具体工程含义。对应力风险降低，最高杠杆在于收紧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制造公差，覆盖约 60% 的应力方差。对反应性稳定性，首要杠杆是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不确定性管控。两组参数在主控因子层面交叉影响有限，这支持将应力裕量和反应性控制的材料表征视为基本独立的优先事项。</w:t>
      </w:r>
    </w:p>
    <w:p>
      <w:r>
        <w:rPr>
          <w:rFonts w:ascii="Times New Roman" w:hAnsi="Times New Roman" w:eastAsia="微软雅黑"/>
        </w:rPr>
        <w:t>The posterior calibration results suggest that a sequential design strategy is viable: prior-based surrogate screening identifies high-risk parameter regions, and subsequent limited in-situ measurements sharpen the risk estimate. This approach is compatible with phased commissioning and qualification testing typical of advanced reactor programmes.</w:t>
      </w:r>
    </w:p>
    <w:p>
      <w:r>
        <w:rPr>
          <w:rFonts w:ascii="Times New Roman" w:hAnsi="Times New Roman" w:eastAsia="微软雅黑"/>
        </w:rPr>
        <w:t>后验标定结果提示序贯设计策略可行：基于先验的代理筛查识别高风险参数区域，后续有限的原位测量精化风险估计。该方法与先进反应堆工程中典型的分阶段调试测试兼容。</w:t>
      </w:r>
    </w:p>
    <w:p>
      <w:pPr>
        <w:pStyle w:val="Heading2"/>
      </w:pPr>
      <w:r>
        <w:t>3.4 计算效率 / Computational Efficiency</w:t>
      </w:r>
    </w:p>
    <w:p>
      <w:r>
        <w:rPr>
          <w:rFonts w:ascii="Times New Roman" w:hAnsi="Times New Roman" w:eastAsia="微软雅黑"/>
        </w:rPr>
        <w:t>The surrogate achieved a single-sample GPU latency of 1.553 × 10⁻⁴ s and a per-sample batched GPU latency of 1.709 × 10⁻⁷ s (batch size 1024), compared to 2266 s (~38 min) for the coupled HF solver (mean of 3 runs, std 1.34 s; hardware: AMD EPYC 9654 96-Core, 566 GB RAM, 2× RTX 5090). The resulting speedups are ~1.46 × 10⁷ (single-sample) and ~1.33 × 10¹⁰ (batched per-sample). An end-to-end forward UQ script (20,000 samples including I/O overhead) completes in 2.655 s, an 853× speedup over a single HF evaluation.</w:t>
      </w:r>
    </w:p>
    <w:p>
      <w:r>
        <w:rPr>
          <w:rFonts w:ascii="Times New Roman" w:hAnsi="Times New Roman" w:eastAsia="微软雅黑"/>
        </w:rPr>
        <w:t>代理模型单样本 GPU 推断延迟 1.553 × 10⁻⁴ s，批处理（1024 样本）单样本延迟 1.709 × 10⁻⁷ s，对比耦合高保真求解器 2266 s（约 38 分钟，3 次运行均值，标准差 1.34 s；硬件：AMD EPYC 9654 96-Core，566 GB RAM，2× RTX 5090）。加速比为 ~1.46 × 10⁷（单样本）和 ~1.33 × 10¹⁰（批处理单样本）。端到端前向 UQ 脚本（20,000 样本含 I/O 开销）在 2.655 s 内完成，相对单次 HF 评估加速 853 倍。</w:t>
      </w:r>
    </w:p>
    <w:p>
      <w:r>
        <w:rPr>
          <w:rFonts w:ascii="Times New Roman" w:hAnsi="Times New Roman" w:eastAsia="微软雅黑"/>
        </w:rPr>
        <w:t>This speedup enables the complete uncertainty-to-risk pipeline — 20,000-sample Monte Carlo propagation, 50-replication Sobol analysis, and 18-case MCMC calibration — to run within minutes of wall-clock time, making iterative design-space exploration and risk-informed decision-making computationally feasible for HPR systems with significant material uncertainty.</w:t>
      </w:r>
    </w:p>
    <w:p>
      <w:r>
        <w:rPr>
          <w:rFonts w:ascii="Times New Roman" w:hAnsi="Times New Roman" w:eastAsia="微软雅黑"/>
        </w:rPr>
        <w:t>该加速使完整不确定性–风险流水线——20,000 样本蒙特卡洛传播、50 次重复 Sobol 分析和 18 例 MCMC 标定——可在数分钟内完成，使具有显著材料不确定性的 HPR 系统的迭代设计探索和风险知情决策在计算上可行。</w:t>
      </w:r>
    </w:p>
    <w:p>
      <w:pPr>
        <w:pStyle w:val="Heading2"/>
      </w:pPr>
      <w:r>
        <w:t>3.5 局限性 / Limitations</w:t>
      </w:r>
    </w:p>
    <w:p>
      <w:r>
        <w:rPr>
          <w:rFonts w:ascii="Times New Roman" w:hAnsi="Times New Roman" w:eastAsia="微软雅黑"/>
        </w:rPr>
        <w:t>Several limitations scope the conclusions of this study.</w:t>
      </w:r>
    </w:p>
    <w:p>
      <w:r>
        <w:rPr>
          <w:rFonts w:ascii="Times New Roman" w:hAnsi="Times New Roman" w:eastAsia="微软雅黑"/>
        </w:rPr>
        <w:t>以下局限界定了本研究结论的适用范围。</w:t>
      </w:r>
    </w:p>
    <w:p>
      <w:r>
        <w:rPr>
          <w:rFonts w:ascii="Times New Roman" w:hAnsi="Times New Roman" w:eastAsia="微软雅黑"/>
        </w:rPr>
        <w:t>First, the surrogate was trained on a fixed dataset of 2900 samples from a single HPR design point (MegaPower reference). Changes in geometry, fuel enrichment, or operating conditions would require retraining. The training cost (~2900 HF runs × ~38 min ≈ ~76 compute-days) is a one-time investment.</w:t>
      </w:r>
    </w:p>
    <w:p>
      <w:r>
        <w:rPr>
          <w:rFonts w:ascii="Times New Roman" w:hAnsi="Times New Roman" w:eastAsia="微软雅黑"/>
        </w:rPr>
        <w:t>第一，代理模型在单一 HPR 设计点（MegaPower 参考设计）的 2900 个样本固定数据集上训练。几何、燃料富集度或运行工况变化需要重新训练。训练成本（~2900 次 HF 运行 × ~38 分钟 ≈ ~76 个计算日）为一次性投资。</w:t>
      </w:r>
    </w:p>
    <w:p>
      <w:r>
        <w:rPr>
          <w:rFonts w:ascii="Times New Roman" w:hAnsi="Times New Roman" w:eastAsia="微软雅黑"/>
        </w:rPr>
        <w:t xml:space="preserve">Second, the MCMC calibration fixed 4 of the 8 parameters at their true values. Releasing additional parameters from the fixed set (for example the thermal-transport coefficient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would require independent informative observations — such as thermal conductivity measurements — that are not available in the current benchmark. The reported posterior contraction is therefore a lower bound on what full 8-dimensional calibration could achieve.</w:t>
      </w:r>
    </w:p>
    <w:p>
      <w:r>
        <w:rPr>
          <w:rFonts w:ascii="Times New Roman" w:hAnsi="Times New Roman" w:eastAsia="微软雅黑"/>
        </w:rPr>
        <w:t xml:space="preserve">第二，MCMC 标定将 8 个参数中的 4 个固定在真实值。若进一步从固定集合中放开参数（例如热传导温度依赖系数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），需要额外的独立信息性观测（如热导率测量）作为似然约束，而当前基准并不具备该条件。因此所报告的后验收缩量是完整 8 维标定所能达到的下界。</w:t>
      </w:r>
    </w:p>
    <w:p>
      <w:r>
        <w:rPr>
          <w:rFonts w:ascii="Times New Roman" w:hAnsi="Times New Roman" w:eastAsia="微软雅黑"/>
        </w:rPr>
        <w:t xml:space="preserve">Third,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OOD prediction degraded substantially for both surrogate variants (R² ≈ 0.29 in appendix tests), indicating that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extrapolation beyond the training range is unreliable. This limitation is specific to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stress extrapolation retained high accuracy under physics regularization.</w:t>
      </w:r>
    </w:p>
    <w:p>
      <w:r>
        <w:rPr>
          <w:rFonts w:ascii="Times New Roman" w:hAnsi="Times New Roman" w:eastAsia="微软雅黑"/>
        </w:rPr>
        <w:t xml:space="preserve">第三，两种代理变体的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OOD 预测均显著退化（附录测试 R² ≈ 0.29），表明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外推在训练范围之外不可靠。此局限专属于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；应力外推在物理正则化下保持高精度。</w:t>
      </w:r>
    </w:p>
    <w:p>
      <w:r>
        <w:rPr>
          <w:rFonts w:ascii="Times New Roman" w:hAnsi="Times New Roman" w:eastAsia="微软雅黑"/>
        </w:rPr>
        <w:t>Fourth, the direct HF validation (Section 2.5) comprises only five cases selected to span the risk spectrum. A larger-scale random-draw validation would strengthen the evidence for surrogate fidelity.</w:t>
      </w:r>
    </w:p>
    <w:p>
      <w:r>
        <w:rPr>
          <w:rFonts w:ascii="Times New Roman" w:hAnsi="Times New Roman" w:eastAsia="微软雅黑"/>
        </w:rPr>
        <w:t>第四，直接高保真验证（第 2.5 节）仅包含 5 个覆盖风险谱的案例。更大规模的随机抽样验证将进一步强化代理保真度的证据。</w:t>
      </w:r>
    </w:p>
    <w:p>
      <w:r>
        <w:rPr>
          <w:rFonts w:ascii="Times New Roman" w:hAnsi="Times New Roman" w:eastAsia="微软雅黑"/>
        </w:rPr>
        <w:t>Fifth, the 131 MPa design-screening threshold adopted in this study is used as a convenient stress boundary for demonstrating the uncertainty-to-risk pipeline; no claim is made in this work that it corresponds to the SS316 yield strength at a specific operating temperature. The methodology and the qualitative conclusions are independent of the specific numerical value: any design-screening stress boundary chosen within the coupled stress distribution would yield an analogous stratification of exceedance risk.</w:t>
      </w:r>
    </w:p>
    <w:p>
      <w:r>
        <w:rPr>
          <w:rFonts w:ascii="Times New Roman" w:hAnsi="Times New Roman" w:eastAsia="微软雅黑"/>
        </w:rPr>
        <w:t>第五，本研究所采用的 131 MPa 设计筛选阈值仅作为用于演示不确定性–风险分析管线的应力筛选边界，本文并不主张该值代表 SS316 在某一具体运行温度下的屈服强度。方法论与定性结论与该数值的具体大小无关：在耦合应力分布覆盖范围内选取任一设计筛选阈值，均可得到类似的超阈风险分层结果。</w:t>
      </w:r>
    </w:p>
    <w:p>
      <w:pPr>
        <w:pStyle w:val="Heading1"/>
      </w:pPr>
      <w:r>
        <w:t>4. 方法 / Methods</w:t>
      </w:r>
    </w:p>
    <w:p>
      <w:pPr>
        <w:pStyle w:val="Heading2"/>
      </w:pPr>
      <w:r>
        <w:t>4.1 材料不确定性模型 / Material Uncertainty Model</w:t>
      </w:r>
    </w:p>
    <w:p>
      <w:r>
        <w:rPr>
          <w:rFonts w:ascii="Times New Roman" w:hAnsi="Times New Roman" w:eastAsia="微软雅黑"/>
        </w:rPr>
        <w:t>The coupled HPR simulation involves eight material properties that enter the calculation through constitutive models for elasticity, thermal expansion, and heat conduction. These eight parameters were selected because they govern the three constitutive relationships that directly control the coupled thermo-mechanical-neutronic response; other material properties (e.g. fuel thermal conductivity, heat-pipe working-fluid parameters) are treated as fixed at their nominal values in the present study. The eight parameters are grouped by physical function into three categories.</w:t>
      </w:r>
    </w:p>
    <w:p>
      <w:r>
        <w:rPr>
          <w:rFonts w:ascii="Times New Roman" w:hAnsi="Times New Roman" w:eastAsia="微软雅黑"/>
        </w:rPr>
        <w:t>HPR 耦合仿真涉及八个通过弹性、热膨胀和热传导本构模型进入计算的材料性质。选择这八个参数是因为它们控制着直接影响耦合热–力–中子响应的三组本构关系；其他材料性质（如燃料热导率、热管工质参数）在本研究中固定在标称值。按物理功能分为三组。</w:t>
      </w:r>
    </w:p>
    <w:p>
      <w:r>
        <w:rPr>
          <w:rFonts w:ascii="Times New Roman" w:hAnsi="Times New Roman" w:eastAsia="微软雅黑"/>
        </w:rPr>
        <w:t xml:space="preserve">Structural mechanics parameters. The temperature-dependent Young's modulus of the SS316 monolith is modelled as a linear function of temperature: E(T) =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where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(nominal: 2 × 10¹¹ Pa) determines the baseline stiffness and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(nominal: −7 × 10⁷ Pa/K) captures its temperature softening. Poisson's ratio ν (nominal: 0.31) characterises the multi-axial stress state. These three parameters control stress through the generalised Hooke's law: σ = C(E, ν) · ε, where C is the fourth-order stiffness tensor.</w:t>
      </w:r>
    </w:p>
    <w:p>
      <w:r>
        <w:rPr>
          <w:rFonts w:ascii="Times New Roman" w:hAnsi="Times New Roman" w:eastAsia="微软雅黑"/>
        </w:rPr>
        <w:t xml:space="preserve">结构力学参数。SS316 基体的温度相关弹性模量建模为温度的线性函数： E(T) =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，其中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（标称值 2 × 10¹¹ Pa）确定基础刚度，</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（标称值 −7 × 10⁷ Pa/K）反映温度软化效应。泊松比 ν（标称值 0.31）表征多轴应力状态。三个参数通过广义胡克定律 σ = C(E, ν) · ε 控制应力， C 为四阶刚度张量。</w:t>
      </w:r>
    </w:p>
    <w:p>
      <w:r>
        <w:rPr>
          <w:rFonts w:ascii="Times New Roman" w:hAnsi="Times New Roman" w:eastAsia="微软雅黑"/>
        </w:rPr>
        <w:t xml:space="preserve">Thermal deformation parameters. The coefficient of thermal expansion is modelled as α(T)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T, where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(nominal: 1 × 10⁻⁵ K⁻¹) is the expansion coefficient at the reference condition and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(nominal: 5 × 10⁻⁹ K⁻²) captures its temperature dependence. These parameters serve a dual role: they govern thermal strain ε_th = α · ΔT, which is the loading source for thermal stress, and they determine the magnitude of core geometric expansion, which is the primary pathway through which material properties affect the neutronic balance.</w:t>
      </w:r>
    </w:p>
    <w:p>
      <w:r>
        <w:rPr>
          <w:rFonts w:ascii="Times New Roman" w:hAnsi="Times New Roman" w:eastAsia="微软雅黑"/>
        </w:rPr>
        <w:t xml:space="preserve">热变形参数。热膨胀系数建模为 α(T)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（标称值 1 × 10⁻⁵ K⁻¹）为参考条件下膨胀系数，</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（标称值 5 × 10⁻⁹ K⁻²）为温度依赖性。这两个参数具有双重角色：控制热应变 ε_th = α · ΔT（应力的载荷源），同时决定堆芯几何膨胀的幅度——材料性质影响中子学平衡的主要路径。</w:t>
      </w:r>
    </w:p>
    <w:p>
      <w:r>
        <w:rPr>
          <w:rFonts w:ascii="Times New Roman" w:hAnsi="Times New Roman" w:eastAsia="微软雅黑"/>
        </w:rPr>
        <w:t xml:space="preserve">SS316 thermal transport parameters. The thermal conductivity of the monolith is modelled as k(T) =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with three uncertain inputs: the reference conductivity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(nominal: 23.2 W/(m·K)), the reference temperature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(nominal: 923.15 K), and the temperature-dependence coefficient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(nominal: 1/75 W/(m·K²)). Together these three parameters control the temperature gradient across the monolith, which is the physical intermediary between fission power deposition and thermal stress. For consistency with the code and data files released with this work,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is named SS316_k_ref,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is named SS316_T_ref, and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is named SS316_alpha in the source; the physics symbols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are used throughout the manuscript.</w:t>
      </w:r>
    </w:p>
    <w:p>
      <w:r>
        <w:rPr>
          <w:rFonts w:ascii="Times New Roman" w:hAnsi="Times New Roman" w:eastAsia="微软雅黑"/>
        </w:rPr>
        <w:t xml:space="preserve">SS316 热传导参数。基体热导率建模为 k(T) =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)，对应三个不确定输入：参考热导率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（标称值 23.2 W/(m·K)）、参考温度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（标称值 923.15 K）、以及温度依赖系数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（标称值 1/75 W/(m·K²)）。三者共同决定基体内部温度梯度——裂变功率沉积与热应力之间的物理中间量。为与本文公开代码与数据保持一致，</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在源代码中分别记作 SS316_k_ref、 SS316_T_ref、SS316_alpha；正文统一使用物理符号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w:t>
      </w:r>
    </w:p>
    <w:p>
      <w:r>
        <w:rPr>
          <w:rFonts w:ascii="Times New Roman" w:hAnsi="Times New Roman" w:eastAsia="微软雅黑"/>
        </w:rPr>
        <w:t>All eight parameters are assigned independent uniform priors with half-width 10% of the nominal design value: θ_k ~ U[0.9 θ_nom,k, 1.1 θ_nom,k] (Table 1). The ±10% range is a conventional uncertainty margin for manufactured stainless-steel properties and is consistent with the perturbation range used in Zhang et al. (2025, Energy). The same prior distribution is used throughout the pipeline: as the sampling distribution in forward UQ (Section 4.4), as the input domain for Sobol analysis (Section 4.5), and as the prior in posterior calibration (Section 4.6).</w:t>
      </w:r>
    </w:p>
    <w:p>
      <w:r>
        <w:rPr>
          <w:rFonts w:ascii="Times New Roman" w:hAnsi="Times New Roman" w:eastAsia="微软雅黑"/>
        </w:rPr>
        <w:t>全部 8 个参数赋予独立均匀先验，半宽为标称值的 10%：θ_k ~ U[0.9 θ_nom,k, 1.1 θ_nom,k]（表 1）。±10% 区间是制造级不锈钢性质的常规不确定性裕量，与 Zhang et al.（2025, Energy）中使用的扰动范围一致。该先验分布在全流水线中统一使用：作为前向 UQ（4.4 节）的采样分布、Sobol 分析（4.5 节）的输入域和后验标定（4.6 节）的先验。</w:t>
      </w:r>
    </w:p>
    <w:p>
      <w:r>
        <w:rPr>
          <w:rFonts w:ascii="Times New Roman" w:hAnsi="Times New Roman" w:eastAsia="微软雅黑"/>
          <w:i/>
          <w:color w:val="0055AA"/>
          <w:sz w:val="20"/>
        </w:rPr>
        <w:t>[TABLE 1: 输入参数、标称值与先验分布]</w:t>
      </w:r>
    </w:p>
    <w:p>
      <w:pPr>
        <w:pStyle w:val="Heading2"/>
      </w:pPr>
      <w:r>
        <w:t>4.2 耦合高保真仿真 / Coupled High-Fidelity Simulation</w:t>
      </w:r>
    </w:p>
    <w:p>
      <w:r>
        <w:rPr>
          <w:rFonts w:ascii="Times New Roman" w:hAnsi="Times New Roman" w:eastAsia="微软雅黑"/>
        </w:rPr>
        <w:t xml:space="preserve">The high-fidelity (HF) workflow couples OpenMC Monte Carlo neutronics with the FEniCS finite-element solver through a Picard fixed-point iteration scheme (Zhang et al. 2024). Starting from the eight material parameters and the reference core geometry, OpenMC computes the neutron multiplication factor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and the spatially resolved fission power distribution. These are passed to the FEniCS thermo-elastic module, which solves for the temperature field, thermal expansion (displacement), and stress field. The updated geometry and temperature-dependent material cross- sections are then fed back to OpenMC for the next iteration. Convergence is declared when the maximum temperature difference between consecutive iterations falls below 1 K, with an under-relaxation factor of 0.1 applied to stabilise the iteration (Zhang et al. 2025, Energy).</w:t>
      </w:r>
    </w:p>
    <w:p>
      <w:r>
        <w:rPr>
          <w:rFonts w:ascii="Times New Roman" w:hAnsi="Times New Roman" w:eastAsia="微软雅黑"/>
        </w:rPr>
        <w:t xml:space="preserve">高保真（HF）工作流通过 Picard 不动点迭代方案耦合 OpenMC 蒙特卡洛中子学与 FEniCS 有限元求解器（Zhang et al. 2024）。从八个材料参数和参考堆芯几何出发， OpenMC 计算中子增殖因子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和空间分辨的裂变功率分布，传递给 FEniCS 热弹性模块求解温度场、热膨胀（位移）和应力场。更新的几何和温度相关材料截面反馈回 OpenMC 进行下一轮迭代。当连续迭代间最大温差低于 1 K 时宣告收敛，亚松弛因子 0.1 用于稳定迭代（Zhang et al. 2025, Energy）。</w:t>
      </w:r>
    </w:p>
    <w:p>
      <w:r>
        <w:rPr>
          <w:rFonts w:ascii="Times New Roman" w:hAnsi="Times New Roman" w:eastAsia="微软雅黑"/>
        </w:rPr>
        <w:t>Two fidelity levels are retained from this iteration process. The decoupled single-pass prediction consists of the outputs after the first iteration (before coupling convergence): FEniCS receives the initial-geometry power distribution from OpenMC and produces thermal-structural outputs without feedback. The coupled steady-state prediction consists of the outputs after full convergence. Comparing these two levels isolates the effect of multi-physics coupling on the output distributions. The surrogate is trained to predict both levels simultaneously.</w:t>
      </w:r>
    </w:p>
    <w:p>
      <w:r>
        <w:rPr>
          <w:rFonts w:ascii="Times New Roman" w:hAnsi="Times New Roman" w:eastAsia="微软雅黑"/>
        </w:rPr>
        <w:t>从该迭代过程中保留两个精度层次。解耦单轮预测由第一轮迭代后的输出构成（耦合收敛前）：FEniCS 接收 OpenMC 的初始几何功率分布，产生无反馈的热力输出。耦合稳态预测由完全收敛后的输出构成。比较两个层次可分离多物理耦合对输出分布的影响。代理模型同时预测两个层次。</w:t>
      </w:r>
    </w:p>
    <w:p>
      <w:r>
        <w:rPr>
          <w:rFonts w:ascii="Times New Roman" w:hAnsi="Times New Roman" w:eastAsia="微软雅黑"/>
        </w:rPr>
        <w:t xml:space="preserve">Each HF evaluation produces 15 scalar outputs. The 7 decoupled (iteration-1) outputs are: average fuel temperature, peak fuel temperature, peak monolith temperature, peak global stress, monolith mean temperature, core height after expansion, and heat-pipe wall displacement. The 8 coupled (iteration-2) outputs add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to the same 7 thermal-structural quantities. The five primary outputs used in the posterior likelihood (Section 4.6) are: coupled peak global stress, coupled peak fuel temperature, coupled peak monolith temperature, coupled wall displacement,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p>
    <w:p>
      <w:r>
        <w:rPr>
          <w:rFonts w:ascii="Times New Roman" w:hAnsi="Times New Roman" w:eastAsia="微软雅黑"/>
        </w:rPr>
        <w:t xml:space="preserve">每次 HF 评估产生 15 个标量输出。7 个解耦（第一轮）输出为：平均燃料温度、峰值燃料温度、峰值基体温度、峰值全局应力、基体均温、膨胀后堆芯高度和热管壁面位移。8 个耦合（第二轮）输出在相同 7 个热力量基础上增加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。后验似然（4.6 节）中使用的 5 个主输出为：耦合峰值全局应力、耦合峰值燃料温度、耦合峰值基体温度、耦合壁面位移和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p>
    <w:p>
      <w:r>
        <w:rPr>
          <w:rFonts w:ascii="Times New Roman" w:hAnsi="Times New Roman" w:eastAsia="微软雅黑"/>
        </w:rPr>
        <w:t xml:space="preserve">A dataset of n = 2900 samples was generated by Latin hypercube sampling over the 8-dimensional prior. A small number of samples produced non-converged or NaN outputs in the coupled iteration; these were excluded prior to surrogate training </w:t>
      </w:r>
      <w:r>
        <w:rPr>
          <w:rFonts w:ascii="Times New Roman" w:hAnsi="Times New Roman" w:eastAsia="微软雅黑"/>
          <w:b/>
          <w:color w:val="CC0000"/>
        </w:rPr>
        <w:t>【待核实：NaN 样本的具体处理方式——是完全剔除还是仅剔除 iter2 NaN 行】</w:t>
      </w:r>
      <w:r>
        <w:rPr>
          <w:rFonts w:ascii="Times New Roman" w:hAnsi="Times New Roman" w:eastAsia="微软雅黑"/>
        </w:rPr>
        <w:t>. The remaining samples were split into training (2029, ~70%), validation (436, ~15%), and test (435, ~15%) sets with a fixed random seed (seed = 2026), ensuring reproducibility across all experiments. The surrogate does not resolve intermediate coupling quantities (e.g. spatially resolved power or temperature fields); it maps directly from the 8 input parameters to the 15 scalar outputs.</w:t>
      </w:r>
    </w:p>
    <w:p>
      <w:r>
        <w:rPr>
          <w:rFonts w:ascii="Times New Roman" w:hAnsi="Times New Roman" w:eastAsia="微软雅黑"/>
        </w:rPr>
        <w:t>通过拉丁超立方采样在 8 维先验空间上生成 n = 2900 个样本。少量样本在耦合迭代中产生未收敛或 NaN 输出，在代理训练前予以排除</w:t>
      </w:r>
      <w:r>
        <w:rPr>
          <w:rFonts w:ascii="Times New Roman" w:hAnsi="Times New Roman" w:eastAsia="微软雅黑"/>
          <w:b/>
          <w:color w:val="CC0000"/>
        </w:rPr>
        <w:t>【待核实：同上】</w:t>
      </w:r>
      <w:r>
        <w:rPr>
          <w:rFonts w:ascii="Times New Roman" w:hAnsi="Times New Roman" w:eastAsia="微软雅黑"/>
        </w:rPr>
        <w:t>。剩余样本以固定随机种子（seed = 2026）划分为训练（2029，~70%）、验证（436，~15%）和测试（435，~15%）集，确保所有实验的可重复性。代理不解析中间耦合量（如空间分辨的功率或温度场），直接从 8 个输入参数映射到 15 个标量输出。</w:t>
      </w:r>
    </w:p>
    <w:p>
      <w:pPr>
        <w:pStyle w:val="Heading2"/>
      </w:pPr>
      <w:r>
        <w:t>4.3 约束正则化概率代理 / Constraint-Regularized Probabilistic Surrogate</w:t>
      </w:r>
    </w:p>
    <w:p>
      <w:r>
        <w:rPr>
          <w:rFonts w:ascii="Times New Roman" w:hAnsi="Times New Roman" w:eastAsia="微软雅黑"/>
        </w:rPr>
        <w:t>The surrogate architecture is a heteroscedastic multilayer perceptron (HeteroMLP). This architecture was selected over Bayesian neural networks (BNNs) for two reasons: (i) BNNs require multiple forward passes or variational inference to obtain predictive uncertainty, whereas the HeteroMLP produces calibrated input-dependent uncertainty in a single forward pass; and (ii) BNN weight-space uncertainty is computationally expensive for the downstream MCMC calibration, which requires thousands of surrogate evaluations per benchmark case. The HeteroMLP achieves comparable uncertainty calibration at substantially lower inference cost compared with full BNN inference.</w:t>
      </w:r>
    </w:p>
    <w:p>
      <w:r>
        <w:rPr>
          <w:rFonts w:ascii="Times New Roman" w:hAnsi="Times New Roman" w:eastAsia="微软雅黑"/>
        </w:rPr>
        <w:t>代理架构为异方差多层感知机（HeteroMLP）。选择该架构而非贝叶斯神经网络（BNN）基于两个原因：(i) BNN 需要多次前向传播或变分推断来获取预测不确定性，而 HeteroMLP 在单次前向传播中即可生成校准的输入依赖不确定性；(ii) BNN 权重空间不确定性对下游 MCMC 标定的计算成本过高（每个基准案例需要数千次代理评估）。相比完整 BNN 推断，HeteroMLP 在显著更低的推断成本下可取得可比的不确定性校准质量。</w:t>
      </w:r>
    </w:p>
    <w:p>
      <w:r>
        <w:rPr>
          <w:rFonts w:ascii="Times New Roman" w:hAnsi="Times New Roman" w:eastAsia="微软雅黑"/>
        </w:rPr>
        <w:t>The HeteroMLP consists of a shared backbone of fully connected layers (depth 3–8, width 64–256 per layer, SiLU activation, dropout) that feeds into two parallel output heads: a mean head producing μ ∈ ℝ¹⁵ and a log-variance head producing log σ² ∈ ℝ¹⁵ (clamped to [−20, 5] for numerical stability). The 8 input parameters and 15 output targets are standardised to zero mean and unit variance using training-set statistics before training.</w:t>
      </w:r>
    </w:p>
    <w:p>
      <w:r>
        <w:rPr>
          <w:rFonts w:ascii="Times New Roman" w:hAnsi="Times New Roman" w:eastAsia="微软雅黑"/>
        </w:rPr>
        <w:t>HeteroMLP 由共享主干（全连接层，深度 3–8 层，每层宽度 64–256，SiLU 激活， dropout）馈入两个并行输出头：均值头输出 μ ∈ ℝ¹⁵，对数方差头输出 log σ² ∈ ℝ¹⁵（限幅至 [−20, 5] 以保证数值稳定）。8 个输入参数和 15 个输出目标在训练前使用训练集统计量标准化为零均值单位方差。</w:t>
      </w:r>
    </w:p>
    <w:p>
      <w:r>
        <w:rPr>
          <w:rFonts w:ascii="Times New Roman" w:hAnsi="Times New Roman" w:eastAsia="微软雅黑"/>
        </w:rPr>
        <w:t>Formally, the surrogate defines an input-dependent predictive distribution for the coupled outputs. Writing the network as f_φ with parameters φ, the two output heads parameterise a conditional Gaussian per output channel:</w:t>
      </w:r>
    </w:p>
    <w:p>
      <w:r>
        <w:rPr>
          <w:rFonts w:ascii="Times New Roman" w:hAnsi="Times New Roman" w:eastAsia="微软雅黑"/>
        </w:rPr>
        <w:t xml:space="preserve">  (μ(θ), log σ²(θ)) = f_φ(θ),    y_j | θ ~ N(μ_j(θ), σ²_j(θ)),    j = 1, …, 15.</w:t>
      </w:r>
    </w:p>
    <w:p>
      <w:r>
        <w:rPr>
          <w:rFonts w:ascii="Times New Roman" w:hAnsi="Times New Roman" w:eastAsia="微软雅黑"/>
        </w:rPr>
        <w:t>The surrogate therefore learns a mapping from the 8-dimensional uncertain material-parameter vector θ to the parameters of a 15-dimensional conditional distribution over the coupled outputs, providing both point predictions μ(θ) and calibrated heteroscedastic predictive uncertainties σ²(θ). All downstream analyses — forward UQ, Sobol attribution, and posterior calibration — operate on this single probabilistic mapping.</w:t>
      </w:r>
    </w:p>
    <w:p>
      <w:r>
        <w:rPr>
          <w:rFonts w:ascii="Times New Roman" w:hAnsi="Times New Roman" w:eastAsia="微软雅黑"/>
        </w:rPr>
        <w:t>更形式化地，代理模型定义了耦合输出在给定输入下的预测分布。将网络记为 f_φ （参数为 φ），两个输出头给出各输出通道的条件高斯参数：</w:t>
      </w:r>
    </w:p>
    <w:p>
      <w:r>
        <w:rPr>
          <w:rFonts w:ascii="Times New Roman" w:hAnsi="Times New Roman" w:eastAsia="微软雅黑"/>
        </w:rPr>
        <w:t xml:space="preserve">  (μ(θ), log σ²(θ)) = f_φ(θ)，  y_j | θ ~ N(μ_j(θ), σ²_j(θ))，  j = 1, …, 15。</w:t>
      </w:r>
    </w:p>
    <w:p>
      <w:r>
        <w:rPr>
          <w:rFonts w:ascii="Times New Roman" w:hAnsi="Times New Roman" w:eastAsia="微软雅黑"/>
        </w:rPr>
        <w:t>因此代理模型学到的是从 8 维材料不确定参数向量 θ 到 15 维耦合输出条件分布参数的映射，同时给出均值预测 μ(θ) 与校准的异方差预测不确定性 σ²(θ)。后续所有分析——前向 UQ、Sobol 归因、后验标定——均基于这一单一概率映射。</w:t>
      </w:r>
    </w:p>
    <w:p>
      <w:r>
        <w:rPr>
          <w:rFonts w:ascii="Times New Roman" w:hAnsi="Times New Roman" w:eastAsia="微软雅黑"/>
        </w:rPr>
        <w:t>The training loss combines three terms. The primary term is the heteroscedastic negative log-likelihood (NLL):</w:t>
      </w:r>
    </w:p>
    <w:p>
      <w:r>
        <w:rPr>
          <w:rFonts w:ascii="Times New Roman" w:hAnsi="Times New Roman" w:eastAsia="微软雅黑"/>
        </w:rPr>
        <w:t>训练损失由三项组成。主项为异方差负对数似然（NLL）：</w:t>
      </w:r>
    </w:p>
    <w:p>
      <w:r>
        <w:rPr>
          <w:rFonts w:ascii="Times New Roman" w:hAnsi="Times New Roman" w:eastAsia="微软雅黑"/>
        </w:rPr>
        <w:t xml:space="preserve">  L_NLL = (1/N) Σ_i Σ_j [(y_ij − μ_ij)² / (2σ²_ij) + (1/2) log σ²_ij]</w:t>
      </w:r>
    </w:p>
    <w:p>
      <w:r>
        <w:rPr>
          <w:rFonts w:ascii="Times New Roman" w:hAnsi="Times New Roman" w:eastAsia="微软雅黑"/>
        </w:rPr>
        <w:t>This loss jointly optimises the mean prediction accuracy and the variance calibration: underestimating σ² inflates the squared-error term, while overestimating σ² inflates the log-variance penalty.</w:t>
      </w:r>
    </w:p>
    <w:p>
      <w:r>
        <w:rPr>
          <w:rFonts w:ascii="Times New Roman" w:hAnsi="Times New Roman" w:eastAsia="微软雅黑"/>
        </w:rPr>
        <w:t>该损失函数同时优化均值预测精度和方差校准：低估 σ² 会放大平方误差项，高估 σ² 会放大对数方差惩罚项。</w:t>
      </w:r>
    </w:p>
    <w:p>
      <w:r>
        <w:rPr>
          <w:rFonts w:ascii="Times New Roman" w:hAnsi="Times New Roman" w:eastAsia="微软雅黑"/>
        </w:rPr>
        <w:t>The second term is a monotonicity penalty. For each input-output pair (x_i, y_j) with a physically expected gradient sign s_ij ∈ {+1, −1}, the penalty is:</w:t>
      </w:r>
    </w:p>
    <w:p>
      <w:r>
        <w:rPr>
          <w:rFonts w:ascii="Times New Roman" w:hAnsi="Times New Roman" w:eastAsia="微软雅黑"/>
        </w:rPr>
        <w:t>第二项为单调性惩罚。对每个具有物理预期梯度符号 s_ij ∈ {+1, −1} 的输入–输出对 (x_i, y_j)，惩罚项为：</w:t>
      </w:r>
    </w:p>
    <w:p>
      <w:r>
        <w:rPr>
          <w:rFonts w:ascii="Times New Roman" w:hAnsi="Times New Roman" w:eastAsia="微软雅黑"/>
        </w:rPr>
        <w:t xml:space="preserve">  L_mono = w_mono · (1/|P|) Σ_{(i,j,s)∈P} mean_batch[ReLU(−s_ij · ∂μ_j/∂x_i)]</w:t>
      </w:r>
    </w:p>
    <w:p>
      <w:r>
        <w:rPr>
          <w:rFonts w:ascii="Times New Roman" w:hAnsi="Times New Roman" w:eastAsia="微软雅黑"/>
        </w:rPr>
        <w:t xml:space="preserve">The monotone pairs P are derived from constitutive reasoning at the following confidence levels. High-confidence pairs (directly from constitutive equations):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 stress (+), from σ ∝ E · ε;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fuel temperature (−) and monolith temperature (−), from Fourier's law. Medium-confidence pairs (requiring coupling reasoning):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stress (+), because higher expansion produces more thermal strain;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 and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 because expansion is expected to increase neutron leakage. Lower-confidence pairs whose sign may depend on operating regime are not included.</w:t>
      </w:r>
    </w:p>
    <w:p>
      <w:r>
        <w:rPr>
          <w:rFonts w:ascii="Times New Roman" w:hAnsi="Times New Roman" w:eastAsia="微软雅黑"/>
        </w:rPr>
        <w:t xml:space="preserve">单调对集合 P 基于本构推理推导，置信层级如下。高置信对（直接来自本构方程）：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 应力 (+)，源于 σ ∝ E · ε；</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燃料温度 (−) 和基体温度 (−)，源于 Fourier 定律。中等置信对（需要耦合推理）：</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应力 (+)，因为更大膨胀产生更多热应变；</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 和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(−)，因为膨胀预期增加中子泄漏。符号可能随运行工况变化的低置信对不纳入。</w:t>
      </w:r>
    </w:p>
    <w:p>
      <w:r>
        <w:rPr>
          <w:rFonts w:ascii="Times New Roman" w:hAnsi="Times New Roman" w:eastAsia="微软雅黑"/>
        </w:rPr>
        <w:t>The third term is an inequality penalty for output ordering constraints:</w:t>
      </w:r>
    </w:p>
    <w:p>
      <w:r>
        <w:rPr>
          <w:rFonts w:ascii="Times New Roman" w:hAnsi="Times New Roman" w:eastAsia="微软雅黑"/>
        </w:rPr>
        <w:t>第三项为输出排序约束的不等式惩罚：</w:t>
      </w:r>
    </w:p>
    <w:p>
      <w:r>
        <w:rPr>
          <w:rFonts w:ascii="Times New Roman" w:hAnsi="Times New Roman" w:eastAsia="微软雅黑"/>
        </w:rPr>
        <w:t xml:space="preserve">  L_ineq = w_ineq · (1/|Q|) Σ_{(j,k)∈Q} mean_batch[ReLU(μ_k − μ_j)]</w:t>
      </w:r>
    </w:p>
    <w:p>
      <w:r>
        <w:rPr>
          <w:rFonts w:ascii="Times New Roman" w:hAnsi="Times New Roman" w:eastAsia="微软雅黑"/>
        </w:rPr>
        <w:t>The inequality set Q encodes physical ordering relationships: peak fuel temperature ≥ average fuel temperature (for both iteration levels), and non-negativity of stress. These constraints cannot be violated by the physical system and serve as regularisers against physically implausible predictions in data-sparse regions.</w:t>
      </w:r>
    </w:p>
    <w:p>
      <w:r>
        <w:rPr>
          <w:rFonts w:ascii="Times New Roman" w:hAnsi="Times New Roman" w:eastAsia="微软雅黑"/>
        </w:rPr>
        <w:t>不等式集合 Q 编码物理排序关系：峰值燃料温度 ≥ 平均燃料温度（两个迭代层次均适用），以及应力非负性。这些约束在物理系统中不可能被违反，作为数据稀疏区域物理不合理预测的正则化器。</w:t>
      </w:r>
    </w:p>
    <w:p>
      <w:r>
        <w:rPr>
          <w:rFonts w:ascii="Times New Roman" w:hAnsi="Times New Roman" w:eastAsia="微软雅黑"/>
        </w:rPr>
        <w:t>The total loss is: L = L_NLL + L_mono + L_ineq.</w:t>
      </w:r>
    </w:p>
    <w:p>
      <w:r>
        <w:rPr>
          <w:rFonts w:ascii="Times New Roman" w:hAnsi="Times New Roman" w:eastAsia="微软雅黑"/>
        </w:rPr>
        <w:t>总损失为：L = L_NLL + L_mono + L_ineq。</w:t>
      </w:r>
    </w:p>
    <w:p>
      <w:r>
        <w:rPr>
          <w:rFonts w:ascii="Times New Roman" w:hAnsi="Times New Roman" w:eastAsia="微软雅黑"/>
        </w:rPr>
        <w:t>Five model variants were trained to isolate the effect of each regularisation component: (1) baseline (NLL only), (2) data-mono (NLL + data-derived monotonicity from Spearman rank correlation), (3) phy-mono (NLL + physics-prior monotonicity), (4) phy-ineq (NLL + physics-prior inequality), and (5) data-mono-ineq (NLL + data-derived monotonicity + inequality). The constraint-regularized surrogate used throughout this paper is the data-mono-ineq variant.</w:t>
      </w:r>
    </w:p>
    <w:p>
      <w:r>
        <w:rPr>
          <w:rFonts w:ascii="Times New Roman" w:hAnsi="Times New Roman" w:eastAsia="微软雅黑"/>
        </w:rPr>
        <w:t>训练了五种模型变体以分离各正则化组分的效果：(1) baseline（仅 NLL），(2) data-mono（NLL + 基于 Spearman 秩相关的数据驱动单调性），(3) phy-mono（NLL + 物理先验单调性），(4) phy-ineq（NLL + 物理先验不等式），(5) data-mono-ineq （NLL + 数据驱动单调性 + 不等式）。本文使用的约束正则化代理为 data-mono-ineq 变体。</w:t>
      </w:r>
    </w:p>
    <w:p>
      <w:r>
        <w:rPr>
          <w:rFonts w:ascii="Times New Roman" w:hAnsi="Times New Roman" w:eastAsia="微软雅黑"/>
        </w:rPr>
        <w:t>Hyperparameters for each variant were independently optimised via Optuna using a TPE sampler with median pruning. The search space included: depth (3–8 layers), width (64–256), learning rate (10⁻⁴–3 × 10⁻³), batch size ({32, 64, 128}), gradient clipping (0.5–5.0), dropout rate, and regularisation weights w_mono (10⁻³–10) and w_ineq (10⁻⁴–5). The baseline and data-mono variants used 60 trials; the ablation variants used 40 trials each. For each trial, training ran for up to 300 epochs with early stopping (patience 25–30, minimum improvement 10⁻⁶) on validation NLL. The final checkpoint was selected as the trial with the lowest validation NLL. All models were trained with the Adam optimiser (weight decay 10⁻⁸–10⁻³) using Xavier uniform initialisation.</w:t>
      </w:r>
    </w:p>
    <w:p>
      <w:r>
        <w:rPr>
          <w:rFonts w:ascii="Times New Roman" w:hAnsi="Times New Roman" w:eastAsia="微软雅黑"/>
        </w:rPr>
        <w:t>各变体的超参数通过 Optuna 使用 TPE 采样器和中位数剪枝独立优化。搜索空间包括：深度（3–8 层）、宽度（64–256）、学习率（10⁻⁴–3 × 10⁻³）、批大小（{32, 64, 128}）、梯度裁剪（0.5–5.0）、dropout 率和正则化权重 w_mono （10⁻³–10）及 w_ineq（10⁻⁴–5）。baseline 和 data-mono 使用 60 次试验；消融变体各使用 40 次试验。每次试验训练至多 300 个 epoch，基于验证集 NLL 早停（耐心 25–30，最小改进 10⁻⁶）。最终检查点选取验证 NLL 最低的试验。所有模型使用 Adam 优化器（权重衰减 10⁻⁸–10⁻³）和 Xavier 均匀初始化。</w:t>
      </w:r>
    </w:p>
    <w:p>
      <w:r>
        <w:rPr>
          <w:rFonts w:ascii="Times New Roman" w:hAnsi="Times New Roman" w:eastAsia="微软雅黑"/>
          <w:i/>
          <w:color w:val="0055AA"/>
          <w:sz w:val="20"/>
        </w:rPr>
        <w:t>[FIG A7 (附录): HeteroMLP 架构示意图]</w:t>
      </w:r>
    </w:p>
    <w:p>
      <w:r>
        <w:rPr>
          <w:rFonts w:ascii="Times New Roman" w:hAnsi="Times New Roman" w:eastAsia="微软雅黑"/>
          <w:i/>
          <w:color w:val="0055AA"/>
          <w:sz w:val="20"/>
        </w:rPr>
        <w:t>[FIG A8 (附录): 五模型训练曲线]</w:t>
      </w:r>
    </w:p>
    <w:p>
      <w:pPr>
        <w:pStyle w:val="Heading2"/>
      </w:pPr>
      <w:r>
        <w:t>4.4 前向不确定性传播方法 / Forward UQ Methodology</w:t>
      </w:r>
    </w:p>
    <w:p>
      <w:r>
        <w:rPr>
          <w:rFonts w:ascii="Times New Roman" w:hAnsi="Times New Roman" w:eastAsia="微软雅黑"/>
        </w:rPr>
        <w:t>Forward uncertainty propagation quantifies how prior parameter uncertainty maps to output uncertainty through the surrogate. 20,000 samples are drawn from the joint prior (Section 4.1) by Latin hypercube sampling. For each sample θ_i, the surrogate returns the predictive mean μ(θ_i) for all 15 outputs. The empirical distribution of {μ(θ_i)}_{i=1}^{20000} constitutes the prior-predictive uncertainty propagation.</w:t>
      </w:r>
    </w:p>
    <w:p>
      <w:r>
        <w:rPr>
          <w:rFonts w:ascii="Times New Roman" w:hAnsi="Times New Roman" w:eastAsia="微软雅黑"/>
        </w:rPr>
        <w:t>前向不确定性传播量化先验参数不确定性如何通过代理映射到输出不确定性。从联合先验（4.1 节）通过拉丁超立方采样抽取 20,000 个样本。对每个 θ_i，代理返回 15 个输出的预测均值 μ(θ_i)。{μ(θ_i)} 的经验分布构成先验预测不确定性传播。</w:t>
      </w:r>
    </w:p>
    <w:p>
      <w:r>
        <w:rPr>
          <w:rFonts w:ascii="Times New Roman" w:hAnsi="Times New Roman" w:eastAsia="微软雅黑"/>
        </w:rPr>
        <w:t>This protocol (y = μ(θ)) deliberately isolates parametric uncertainty from surrogate aleatoric noise. Because the heteroscedastic head models observation noise and model-form uncertainty as σ(θ), including it in the forward propagation (y = μ(θ) + σ(θ) · ε, ε ~ N(0,1)) would mix two distinct uncertainty sources. The main-text results report the μ-only protocol so that all variance in the output distribution is attributable to input-parameter variation. The predictive variant is reported in the appendix as a consistency check; it yields broader distributions but preserves the same qualitative conclusions.</w:t>
      </w:r>
    </w:p>
    <w:p>
      <w:r>
        <w:rPr>
          <w:rFonts w:ascii="Times New Roman" w:hAnsi="Times New Roman" w:eastAsia="微软雅黑"/>
        </w:rPr>
        <w:t>该协议（y = μ(θ)）有意隔离参数不确定性与代理偶然噪声。由于异方差头将观测噪声和模型形式不确定性建模为 σ(θ)，在前向传播中包含它（y = μ(θ) + σ(θ) · ε）会混合两个不同的不确定性来源。正文结果报告 μ-only 协议，使输出分布中的所有方差可归因于输入参数变异。预测变体在附录中作为一致性检验报告；它产生更宽的分布但保持相同的定性结论。</w:t>
      </w:r>
    </w:p>
    <w:p>
      <w:r>
        <w:rPr>
          <w:rFonts w:ascii="Times New Roman" w:hAnsi="Times New Roman" w:eastAsia="微软雅黑"/>
        </w:rPr>
        <w:t>The threshold exceedance probability is defined as P(σ_max &gt; τ) = (1/N) Σ_i 𝟙{μ_stress(θ_i) &gt; τ}, where τ is the design-screening threshold. Results are reported at τ = 131 MPa (primary) and at τ ∈ {110, 120, 169, 200} MPa to span the range from conservative to nominal-stress levels.</w:t>
      </w:r>
    </w:p>
    <w:p>
      <w:r>
        <w:rPr>
          <w:rFonts w:ascii="Times New Roman" w:hAnsi="Times New Roman" w:eastAsia="微软雅黑"/>
        </w:rPr>
        <w:t>阈值超越概率定义为 P(σ_max &gt; τ) = (1/N) Σ_i 𝟙{μ_stress(θ_i) &gt; τ}，τ 为设计筛选阈值。结果在 τ = 131 MPa（主要）和 τ ∈ {110, 120, 169, 200} MPa 下报告，覆盖从保守到标称应力水平的范围。</w:t>
      </w:r>
    </w:p>
    <w:p>
      <w:pPr>
        <w:pStyle w:val="Heading2"/>
      </w:pPr>
      <w:r>
        <w:t>4.5 Sobol 敏感性分析方法 / Sobol Sensitivity Methodology</w:t>
      </w:r>
    </w:p>
    <w:p>
      <w:r>
        <w:rPr>
          <w:rFonts w:ascii="Times New Roman" w:hAnsi="Times New Roman" w:eastAsia="微软雅黑"/>
        </w:rPr>
        <w:t>Variance-based global sensitivity analysis is built on the Sobol decomposition of a square-integrable output Y = μ(θ) of independent inputs θ = (θ_1, …, θ_d):</w:t>
      </w:r>
    </w:p>
    <w:p>
      <w:r>
        <w:rPr>
          <w:rFonts w:ascii="Times New Roman" w:hAnsi="Times New Roman" w:eastAsia="微软雅黑"/>
        </w:rPr>
        <w:t xml:space="preserve">  Var(Y) = Σ_i V_i + Σ_{i&lt;j} V_{ij} + … + V_{1…d},</w:t>
      </w:r>
    </w:p>
    <w:p>
      <w:r>
        <w:rPr>
          <w:rFonts w:ascii="Times New Roman" w:hAnsi="Times New Roman" w:eastAsia="微软雅黑"/>
        </w:rPr>
        <w:t>where V_i = Var_{θ_i}(E[Y | θ_i]) is the main-effect variance of input i and the higher-order terms collect pairwise and multi-way interactions. The first-order and total-order Sobol indices are</w:t>
      </w:r>
    </w:p>
    <w:p>
      <w:r>
        <w:rPr>
          <w:rFonts w:ascii="Times New Roman" w:hAnsi="Times New Roman" w:eastAsia="微软雅黑"/>
        </w:rPr>
        <w:t xml:space="preserve">  S_i = V_i / Var(Y),    S_{T,i} = 1 − Var_{θ_{~i}}(E[Y | θ_{~i}]) / Var(Y).</w:t>
      </w:r>
    </w:p>
    <w:p>
      <w:r>
        <w:rPr>
          <w:rFonts w:ascii="Times New Roman" w:hAnsi="Times New Roman" w:eastAsia="微软雅黑"/>
        </w:rPr>
        <w:t>S_i measures the fraction of output variance attributable to input i alone; S_{T,i} collects all effects involving input i, including interactions. A large gap between S_{T,i} and S_i indicates substantial interaction effects; when S_{T,i} ≈ S_i, input i acts primarily through an independent channel.</w:t>
      </w:r>
    </w:p>
    <w:p>
      <w:r>
        <w:rPr>
          <w:rFonts w:ascii="Times New Roman" w:hAnsi="Times New Roman" w:eastAsia="微软雅黑"/>
        </w:rPr>
        <w:t>基于方差的全局敏感性分析建立在 Sobol 分解之上。对于独立输入 θ = (θ_1, …, θ_d) 的平方可积输出 Y = μ(θ)，有：</w:t>
      </w:r>
    </w:p>
    <w:p>
      <w:r>
        <w:rPr>
          <w:rFonts w:ascii="Times New Roman" w:hAnsi="Times New Roman" w:eastAsia="微软雅黑"/>
        </w:rPr>
        <w:t xml:space="preserve">  Var(Y) = Σ_i V_i + Σ_{i&lt;j} V_{ij} + … + V_{1…d}，</w:t>
      </w:r>
    </w:p>
    <w:p>
      <w:r>
        <w:rPr>
          <w:rFonts w:ascii="Times New Roman" w:hAnsi="Times New Roman" w:eastAsia="微软雅黑"/>
        </w:rPr>
        <w:t>其中 V_i = Var_{θ_i}(E[Y | θ_i]) 为输入 i 的主效应方差，高阶项收集两两和多项交互。一阶与总阶 Sobol 指数分别为：</w:t>
      </w:r>
    </w:p>
    <w:p>
      <w:r>
        <w:rPr>
          <w:rFonts w:ascii="Times New Roman" w:hAnsi="Times New Roman" w:eastAsia="微软雅黑"/>
        </w:rPr>
        <w:t xml:space="preserve">  S_i = V_i / Var(Y)，  S_{T,i} = 1 − Var_{θ_{~i}}(E[Y | θ_{~i}]) / Var(Y)。</w:t>
      </w:r>
    </w:p>
    <w:p>
      <w:r>
        <w:rPr>
          <w:rFonts w:ascii="Times New Roman" w:hAnsi="Times New Roman" w:eastAsia="微软雅黑"/>
        </w:rPr>
        <w:t>S_i 度量仅由输入 i 单独引起的输出方差比例；S_{T,i} 汇集所有涉及输入 i 的效应（含交互）。S_{T,i} 与 S_i 之间的较大差距表明存在显著的交互效应；当 S_{T,i} ≈ S_i 时，输入 i 主要通过独立通道起作用。</w:t>
      </w:r>
    </w:p>
    <w:p>
      <w:r>
        <w:rPr>
          <w:rFonts w:ascii="Times New Roman" w:hAnsi="Times New Roman" w:eastAsia="微软雅黑"/>
        </w:rPr>
        <w:t>Indices are estimated using the Saltelli quasi-random sampling scheme with the Jansen estimator. Two independent N_S × 8 matrices A and B are drawn from the prior (N_S = 4096 per matrix). For each input dimension i, a cross-matrix A_B^(i) is formed by replacing the i-th column of A with that of B. The total number of surrogate evaluations per replication is N_S × (8 + 2) = 40,960. The surrogate mean function μ(θ) serves as the deterministic evaluator, for the same reason as in forward UQ: isolating parametric sensitivity from surrogate noise.</w:t>
      </w:r>
    </w:p>
    <w:p>
      <w:r>
        <w:rPr>
          <w:rFonts w:ascii="Times New Roman" w:hAnsi="Times New Roman" w:eastAsia="微软雅黑"/>
        </w:rPr>
        <w:t>采用 Saltelli 准随机采样方案结合 Jansen 估计量估计指数。从先验中抽取两个独立的 N_S × 8 矩阵 A 和 B（每矩阵 N_S = 4096）。对每个输入维度 i，将 A 的第 i 列替换为 B 的第 i 列形成交叉矩阵 A_B^(i)。每次重复的代理评估总数为 N_S × (8 + 2) = 40,960。代理均值函数 μ(θ) 充当确定性评估器，原因与前向 UQ 相同：隔离参数敏感性与代理噪声。</w:t>
      </w:r>
    </w:p>
    <w:p>
      <w:r>
        <w:rPr>
          <w:rFonts w:ascii="Times New Roman" w:hAnsi="Times New Roman" w:eastAsia="微软雅黑"/>
        </w:rPr>
        <w:t>To quantify sampling uncertainty in the estimated indices, the analysis is independently repeated 50 times with different random seeds. The 90% confidence interval for each index is computed as S̄₁ ± 1.645 × SE, where SE is the standard error across the 50 replications. A factor is considered a stable contributor only if the lower bound of its 90% CI exceeds zero; factors whose CI includes zero are not interpreted as meaningful contributors regardless of their point estimate.</w:t>
      </w:r>
    </w:p>
    <w:p>
      <w:r>
        <w:rPr>
          <w:rFonts w:ascii="Times New Roman" w:hAnsi="Times New Roman" w:eastAsia="微软雅黑"/>
        </w:rPr>
        <w:t>为量化估计指数中的采样不确定性，分析以不同随机种子独立重复 50 次。每个指数的 90% 置信区间计算为 S̄₁ ± 1.645 × SE，SE 为 50 次重复的标准误差。仅 90% CI 下界超过零的因子被视为稳定贡献者；CI 包含零的因子无论点估计值如何均不被解释为有意义的贡献者。</w:t>
      </w:r>
    </w:p>
    <w:p>
      <w:pPr>
        <w:pStyle w:val="Heading2"/>
      </w:pPr>
      <w:r>
        <w:t>4.6 后验标定方法 / Posterior Calibration Methodology</w:t>
      </w:r>
    </w:p>
    <w:p>
      <w:r>
        <w:rPr>
          <w:rFonts w:ascii="Times New Roman" w:hAnsi="Times New Roman" w:eastAsia="微软雅黑"/>
        </w:rPr>
        <w:t>Posterior calibration uses Bayesian inference to update the prior parameter distribution given observed coupled outputs, quantifying how much parameter uncertainty can be reduced by measurement-like information. Given a prior π(θ) and a likelihood p(y_obs | θ) induced by the surrogate mean prediction and the observation-noise model, the posterior over calibrated parameters is</w:t>
      </w:r>
    </w:p>
    <w:p>
      <w:r>
        <w:rPr>
          <w:rFonts w:ascii="Times New Roman" w:hAnsi="Times New Roman" w:eastAsia="微软雅黑"/>
        </w:rPr>
        <w:t xml:space="preserve">  p(θ | y_obs) ∝ p(y_obs | θ) · π(θ).</w:t>
      </w:r>
    </w:p>
    <w:p>
      <w:r>
        <w:rPr>
          <w:rFonts w:ascii="Times New Roman" w:hAnsi="Times New Roman" w:eastAsia="微软雅黑"/>
        </w:rPr>
        <w:t>The posterior is represented by MCMC samples {θ^(m)}_{m=1}^{M} and is used downstream both as an updated parameter distribution and as the input to an observation-conditioned exceedance-risk estimator (defined at the end of this section).</w:t>
      </w:r>
    </w:p>
    <w:p>
      <w:r>
        <w:rPr>
          <w:rFonts w:ascii="Times New Roman" w:hAnsi="Times New Roman" w:eastAsia="微软雅黑"/>
        </w:rPr>
        <w:t>后验标定使用贝叶斯推断在给定观测耦合输出的条件下更新先验参数分布，量化类测量信息可以减少多少参数不确定性。给定先验 π(θ) 以及由代理均值预测与观测噪声模型共同给出的似然 p(y_obs | θ)，标定参数的后验为：</w:t>
      </w:r>
    </w:p>
    <w:p>
      <w:r>
        <w:rPr>
          <w:rFonts w:ascii="Times New Roman" w:hAnsi="Times New Roman" w:eastAsia="微软雅黑"/>
        </w:rPr>
        <w:t xml:space="preserve">  p(θ | y_obs) ∝ p(y_obs | θ) · π(θ)。</w:t>
      </w:r>
    </w:p>
    <w:p>
      <w:r>
        <w:rPr>
          <w:rFonts w:ascii="Times New Roman" w:hAnsi="Times New Roman" w:eastAsia="微软雅黑"/>
        </w:rPr>
        <w:t>后验通过 MCMC 样本 {θ^(m)}_{m=1}^{M} 表示，下游既作为更新后的参数分布使用，也作为观测条件下超阈风险估计（本节末尾给出定义）的输入。</w:t>
      </w:r>
    </w:p>
    <w:p>
      <w:r>
        <w:rPr>
          <w:rFonts w:ascii="Times New Roman" w:hAnsi="Times New Roman" w:eastAsia="微软雅黑"/>
        </w:rPr>
        <w:t xml:space="preserve">Four parameters are selected for calibration: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This subset was chosen based on the Sobol ranking: these four parameters have the largest S₁ values for stress and/or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collectively accounting for the majority of the explained variance. The remaining four parameters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ν) are fixed at their true test-case values. Fixing these parameters is a simplification that assumes they could be independently measured; relaxing this assumption to a full 8-dimensional calibration would require additional independent observations to constrain the expanded parameter space.</w:t>
      </w:r>
    </w:p>
    <w:p>
      <w:r>
        <w:rPr>
          <w:rFonts w:ascii="Times New Roman" w:hAnsi="Times New Roman" w:eastAsia="微软雅黑"/>
        </w:rPr>
        <w:t>选择四个参数进行标定：</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和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。该子集基于 Sobol 排序选择：这四个参数对应力和/或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具有最大的 S₁ 值，共同解释了大部分方差。其余四个参数（</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、ν）固定在真实测试案例值。固定这些参数是一种简化假设，假定它们可被独立测量；将该假设放松为完整 8 维标定需要额外的独立观测来约束扩展的参数空间。</w:t>
      </w:r>
    </w:p>
    <w:p>
      <w:r>
        <w:rPr>
          <w:rFonts w:ascii="Times New Roman" w:hAnsi="Times New Roman" w:eastAsia="微软雅黑"/>
        </w:rPr>
        <w:t>Benchmark cases are drawn from the held-out test split to ensure that the surrogate has not seen the true parameter-output pairs during training. A total of 18 benchmark cases are selected by stratified sampling across three stress categories: 6 low-stress, 6 near-threshold (around 131 MPa), and 6 high-stress cases, spanning a true stress range of 102–198 MPa. An additional 10 feasibility-check cases (true stress 133–194 MPa, all exceeding 131 MPa) are used to test whether the posterior correctly excludes high-stress configurations from the feasible set. These 10 cases overlap partially with the high-stress stratum of the 18 benchmark cases.</w:t>
      </w:r>
    </w:p>
    <w:p>
      <w:r>
        <w:rPr>
          <w:rFonts w:ascii="Times New Roman" w:hAnsi="Times New Roman" w:eastAsia="微软雅黑"/>
        </w:rPr>
        <w:t>基准案例从留出测试集中抽取，确保代理在训练中未见过真实参数–输出对。通过在三个应力类别中分层采样选取共 18 个基准案例：6 低应力、6 近阈值（约 131 MPa 附近）和 6 高应力案例，真实应力范围 102–198 MPa。另选 10 个可行性检验案例（真实应力 133–194 MPa，均超 131 MPa）用于检验后验是否将高应力配置排除在可行集之外。这 10 个案例与 18 个基准的高应力层部分重叠。</w:t>
      </w:r>
    </w:p>
    <w:p>
      <w:r>
        <w:rPr>
          <w:rFonts w:ascii="Times New Roman" w:hAnsi="Times New Roman" w:eastAsia="微软雅黑"/>
        </w:rPr>
        <w:t xml:space="preserve">For each benchmark case, the "observations" are the true HF outputs of 5 primary coupled quantities (peak global stress, peak fuel temperature, peak monolith temperature, wall displacement,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corrupted by 2% multiplicative Gaussian noise: y_obs = y_true + ε, ε ~ N(0, (0.02 × |y_true|)²). This noise level simulates realistic measurement uncertainty.</w:t>
      </w:r>
    </w:p>
    <w:p>
      <w:r>
        <w:rPr>
          <w:rFonts w:ascii="Times New Roman" w:hAnsi="Times New Roman" w:eastAsia="微软雅黑"/>
        </w:rPr>
        <w:t xml:space="preserve">对每个基准案例，"观测"为 5 个主耦合输出（峰值全局应力、峰值燃料温度、峰值基体温度、壁面位移和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）的真实 HF 输出加 2% 乘性高斯噪声： y_obs = y_true + ε，ε ~ N(0, (0.02 × |y_true|)²)。该噪声水平模拟实际测量不确定性。</w:t>
      </w:r>
    </w:p>
    <w:p>
      <w:r>
        <w:rPr>
          <w:rFonts w:ascii="Times New Roman" w:hAnsi="Times New Roman" w:eastAsia="微软雅黑"/>
        </w:rPr>
        <w:t>The posterior is sampled using single-chain Metropolis-Hastings MCMC. The proposal distribution is a Gaussian centred at the current state with scale 0.40 × σ_prior for each parameter, where σ_prior is the prior standard deviation. Each chain runs for 8000 iterations; the first 2000 are discarded as burn-in and every 5th sample is retained, yielding 1200 posterior samples per case. The log-likelihood for a candidate parameter vector θ* is:</w:t>
      </w:r>
    </w:p>
    <w:p>
      <w:r>
        <w:rPr>
          <w:rFonts w:ascii="Times New Roman" w:hAnsi="Times New Roman" w:eastAsia="微软雅黑"/>
        </w:rPr>
        <w:t>后验通过单链 Metropolis-Hastings MCMC 采样。提议分布为以当前状态为中心的高斯分布，每个参数的尺度为 0.40 × σ_prior（σ_prior 为先验标准差）。每条链运行 8000 步迭代；前 2000 步作为烧入期丢弃，每 5 步保留 1 个样本，每个案例产生 1200 个后验样本。候选参数向量 θ* 的对数似然为：</w:t>
      </w:r>
    </w:p>
    <w:p>
      <w:r>
        <w:rPr>
          <w:rFonts w:ascii="Times New Roman" w:hAnsi="Times New Roman" w:eastAsia="微软雅黑"/>
        </w:rPr>
        <w:t xml:space="preserve">  log L(y_obs | θ*) = −(1/2) Σ_j [(y_obs,j − μ_j(θ*))² / σ²_obs,j + log σ²_obs,j]</w:t>
      </w:r>
    </w:p>
    <w:p>
      <w:r>
        <w:rPr>
          <w:rFonts w:ascii="Times New Roman" w:hAnsi="Times New Roman" w:eastAsia="微软雅黑"/>
        </w:rPr>
        <w:t>where μ_j(θ*) is the surrogate mean prediction for the j-th output and σ_obs,j = 0.02 × |y_true,j| is the observation noise standard deviation. Acceptance rates across the 18 benchmark cases ranged from 0.487 to 0.592, within the recommended range for random-walk Metropolis. Convergence is assessed by trace-plot inspection (Fig. A1)</w:t>
      </w:r>
      <w:r>
        <w:rPr>
          <w:rFonts w:ascii="Times New Roman" w:hAnsi="Times New Roman" w:eastAsia="微软雅黑"/>
          <w:b/>
          <w:color w:val="CC0000"/>
        </w:rPr>
        <w:t>【待补：Rhat 定量诊断。benchmark_summary.csv 已含 rhat 列但尚未在正文引用具体数值。多链 (n_chains = 4) 运行可提供正式 Rhat，当前为单链运行】</w:t>
      </w:r>
      <w:r>
        <w:rPr>
          <w:rFonts w:ascii="Times New Roman" w:hAnsi="Times New Roman" w:eastAsia="微软雅黑"/>
        </w:rPr>
        <w:t>.</w:t>
      </w:r>
    </w:p>
    <w:p>
      <w:r>
        <w:rPr>
          <w:rFonts w:ascii="Times New Roman" w:hAnsi="Times New Roman" w:eastAsia="微软雅黑"/>
        </w:rPr>
        <w:t>其中 μ_j(θ*) 为第 j 个输出的代理均值预测，σ_obs,j = 0.02 × |y_true,j| 为观测噪声标准差。18 个基准案例的接受率范围 0.487–0.592，在随机游走 Metropolis 的推荐区间内。收敛通过 trace plot 评估（图 A1）</w:t>
      </w:r>
      <w:r>
        <w:rPr>
          <w:rFonts w:ascii="Times New Roman" w:hAnsi="Times New Roman" w:eastAsia="微软雅黑"/>
          <w:b/>
          <w:color w:val="CC0000"/>
        </w:rPr>
        <w:t>【待补：同上】</w:t>
      </w:r>
      <w:r>
        <w:rPr>
          <w:rFonts w:ascii="Times New Roman" w:hAnsi="Times New Roman" w:eastAsia="微软雅黑"/>
        </w:rPr>
        <w:t>。</w:t>
      </w:r>
    </w:p>
    <w:p>
      <w:r>
        <w:rPr>
          <w:rFonts w:ascii="Times New Roman" w:hAnsi="Times New Roman" w:eastAsia="微软雅黑"/>
        </w:rPr>
        <w:t>Given the posterior MCMC samples {θ^(m)}_{m=1}^{M}, the observation-conditioned exceedance probability at a screening threshold τ is defined as the posterior expectation of the mean-prediction exceedance indicator:</w:t>
      </w:r>
    </w:p>
    <w:p>
      <w:r>
        <w:rPr>
          <w:rFonts w:ascii="Times New Roman" w:hAnsi="Times New Roman" w:eastAsia="微软雅黑"/>
        </w:rPr>
        <w:t xml:space="preserve">  P(σ_max &gt; τ | y_obs) = (1/M) Σ_m 𝟙{μ_stress(θ^(m)) &gt; τ}.</w:t>
      </w:r>
    </w:p>
    <w:p>
      <w:r>
        <w:rPr>
          <w:rFonts w:ascii="Times New Roman" w:hAnsi="Times New Roman" w:eastAsia="微软雅黑"/>
        </w:rPr>
        <w:t>This is the posterior counterpart of the prior exceedance probability defined in Section 4.4. Consistent with the μ-only protocol adopted throughout the main text, surrogate predictive variance is not integrated into the risk indicator; the risk is an exceedance probability over the posterior distribution of parameters.</w:t>
      </w:r>
    </w:p>
    <w:p>
      <w:r>
        <w:rPr>
          <w:rFonts w:ascii="Times New Roman" w:hAnsi="Times New Roman" w:eastAsia="微软雅黑"/>
        </w:rPr>
        <w:t>给定后验 MCMC 样本 {θ^(m)}_{m=1}^{M}，筛选阈值 τ 下的观测条件超阈概率定义为均值预测超阈指示函数在后验上的期望：</w:t>
      </w:r>
    </w:p>
    <w:p>
      <w:r>
        <w:rPr>
          <w:rFonts w:ascii="Times New Roman" w:hAnsi="Times New Roman" w:eastAsia="微软雅黑"/>
        </w:rPr>
        <w:t xml:space="preserve">  P(σ_max &gt; τ | y_obs) = (1/M) Σ_m 𝟙{μ_stress(θ^(m)) &gt; τ}。</w:t>
      </w:r>
    </w:p>
    <w:p>
      <w:r>
        <w:rPr>
          <w:rFonts w:ascii="Times New Roman" w:hAnsi="Times New Roman" w:eastAsia="微软雅黑"/>
        </w:rPr>
        <w:t>这是 4.4 节给出的先验超阈概率在观测条件下的对应量。与全文采用的 μ-only 协议一致，代理预测方差不整合进风险指示函数；该风险为参数后验分布上的超阈概率。</w:t>
      </w:r>
    </w:p>
    <w:p>
      <w:r>
        <w:rPr>
          <w:rFonts w:ascii="Times New Roman" w:hAnsi="Times New Roman" w:eastAsia="微软雅黑"/>
        </w:rPr>
        <w:t>The direct HF spot-checks reported in Section 2.5 are not part of the posterior calibration pipeline. They are independent re-evaluations of the coupled solver at posterior-mean parameter values, intended to assess whether the surrogate's posterior-mean predictions are physically realisable. Their scope is limited to 5 selected cases and does not constitute a systematic validation of surrogate generalisation.</w:t>
      </w:r>
    </w:p>
    <w:p>
      <w:r>
        <w:rPr>
          <w:rFonts w:ascii="Times New Roman" w:hAnsi="Times New Roman" w:eastAsia="微软雅黑"/>
        </w:rPr>
        <w:t>第 2.5 节报告的直接 HF 抽查不属于后验标定流水线。它们是在后验均值参数处对耦合求解器的独立重新评估，旨在评估代理的后验均值预测是否在物理上可实现。其范围限于 5 个选定案例，不构成代理泛化能力的系统性验证。</w:t>
      </w:r>
    </w:p>
    <w:p>
      <w:pPr>
        <w:pStyle w:val="Heading1"/>
      </w:pPr>
      <w:r>
        <w:t>5. 结论 / Conclusion</w:t>
      </w:r>
    </w:p>
    <w:p>
      <w:r>
        <w:rPr>
          <w:rFonts w:ascii="Times New Roman" w:hAnsi="Times New Roman" w:eastAsia="微软雅黑"/>
        </w:rPr>
        <w:t>This work presented a constraint-regularized probabilistic surrogate framework for coupled multi-physics uncertainty-to-risk analysis in a heat-pipe-cooled reactor. The principal findings are:</w:t>
      </w:r>
    </w:p>
    <w:p>
      <w:r>
        <w:rPr>
          <w:rFonts w:ascii="Times New Roman" w:hAnsi="Times New Roman" w:eastAsia="微软雅黑"/>
        </w:rPr>
        <w:t>本文提出了约束正则化概率代理框架，用于热管冷却反应堆耦合多物理场不确定性–风险分析。主要发现如下：</w:t>
      </w:r>
    </w:p>
    <w:p>
      <w:r>
        <w:rPr>
          <w:rFonts w:ascii="Times New Roman" w:hAnsi="Times New Roman" w:eastAsia="微软雅黑"/>
        </w:rPr>
        <w:t>(1) The constraint-regularized HeteroMLP maintained stress R² = 0.9291 and PICP₉₀ = 0.947 in-distribution, with the narrowest prediction intervals among all tested configurations.</w:t>
      </w:r>
    </w:p>
    <w:p>
      <w:r>
        <w:rPr>
          <w:rFonts w:ascii="Times New Roman" w:hAnsi="Times New Roman" w:eastAsia="微软雅黑"/>
        </w:rPr>
        <w:t>（1）约束正则化 HeteroMLP 在分布内保持应力 R² = 0.9291 和 PICP₉₀ = 0.947，预测区间为所有测试配置中最窄。</w:t>
      </w:r>
    </w:p>
    <w:p>
      <w:r>
        <w:rPr>
          <w:rFonts w:ascii="Times New Roman" w:hAnsi="Times New Roman" w:eastAsia="微软雅黑"/>
        </w:rPr>
        <w:t>(2) Multi-physics coupling compresses material-parameter-driven stress uncertainty by 29%, consistent with the expected neutronics-thermal negative feedback that is absent in decoupled analysis.</w:t>
      </w:r>
    </w:p>
    <w:p>
      <w:r>
        <w:rPr>
          <w:rFonts w:ascii="Times New Roman" w:hAnsi="Times New Roman" w:eastAsia="微软雅黑"/>
        </w:rPr>
        <w:t>（2）多物理耦合将材料参数驱动的应力不确定性压缩 29%，与解耦分析中不存在的中子–热负反馈机制一致。</w:t>
      </w:r>
    </w:p>
    <w:p>
      <w:r>
        <w:rPr>
          <w:rFonts w:ascii="Times New Roman" w:hAnsi="Times New Roman" w:eastAsia="微软雅黑"/>
        </w:rPr>
        <w:t xml:space="preserve">(3)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are governed by distinct sensitivity pathways at the dominant-factor level: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(S₁ = 0.586) dominates stress,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(S₁ = 0.775) dominates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with limited cross-interaction. This motivates treating stress-margin and reactivity-control material characterisation as largely independent priorities.</w:t>
      </w:r>
    </w:p>
    <w:p>
      <w:r>
        <w:rPr>
          <w:rFonts w:ascii="Times New Roman" w:hAnsi="Times New Roman" w:eastAsia="微软雅黑"/>
        </w:rPr>
        <w:t xml:space="preserve">（3）在主控因子层面，应力和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受不同敏感性路径支配：</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（S₁ = 0.586）主导应力，</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（S₁ = 0.775）主导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，交叉作用有限。这支持将应力裕量和反应性控制的材料表征视为基本独立的优先事项。</w:t>
      </w:r>
    </w:p>
    <w:p>
      <w:r>
        <w:rPr>
          <w:rFonts w:ascii="Times New Roman" w:hAnsi="Times New Roman" w:eastAsia="微软雅黑"/>
        </w:rPr>
        <w:t>(4) Posterior calibration shifts the inferred parameter distribution toward observation-compatible regions (87.5% 90%-CI coverage, P(σ &gt; 131 MPa) = 0.604–1.000 for high-stress cases), with consistency supported by direct HF spot-checks (stress MAE = 0.70 MPa across 5 cases).</w:t>
      </w:r>
    </w:p>
    <w:p>
      <w:r>
        <w:rPr>
          <w:rFonts w:ascii="Times New Roman" w:hAnsi="Times New Roman" w:eastAsia="微软雅黑"/>
        </w:rPr>
        <w:t>（4）后验标定将推断参数分布向与观测相容的区域收敛（90%-CI 覆盖率 87.5%，高应力案例 P(σ &gt; 131 MPa) = 0.604–1.000），经 5 例直接 HF 抽查支持一致性（应力 MAE = 0.70 MPa）。</w:t>
      </w:r>
    </w:p>
    <w:p>
      <w:r>
        <w:rPr>
          <w:rFonts w:ascii="Times New Roman" w:hAnsi="Times New Roman" w:eastAsia="微软雅黑"/>
        </w:rPr>
        <w:t>The ~1.3 × 10¹⁰ batched speedup over the coupled solver enables the complete pipeline — forward UQ, sensitivity analysis, and posterior calibration — to run within minutes, making risk-informed decision-making computationally feasible for reactor systems with significant material uncertainty.</w:t>
      </w:r>
    </w:p>
    <w:p>
      <w:r>
        <w:rPr>
          <w:rFonts w:ascii="Times New Roman" w:hAnsi="Times New Roman" w:eastAsia="微软雅黑"/>
        </w:rPr>
        <w:t>~1.3 × 10¹⁰ 的批处理加速比使完整流水线——前向 UQ、敏感性分析和后验标定——可在数分钟内完成，使具有显著材料不确定性的反应堆系统的风险知情决策在计算上可行。</w:t>
      </w:r>
    </w:p>
    <w:p>
      <w:pPr>
        <w:pStyle w:val="Heading1"/>
      </w:pPr>
      <w:r>
        <w:t>致谢 / Acknowledgements</w:t>
      </w:r>
    </w:p>
    <w:p>
      <w:r>
        <w:rPr>
          <w:rFonts w:ascii="Times New Roman" w:hAnsi="Times New Roman" w:eastAsia="微软雅黑"/>
        </w:rPr>
        <w:t>The authors gratefully acknowledge the support provided by the National Natural Science Foundation of China [12175138]; Shanghai Rising-Star Program; and LingChuang Research Project of China National Nuclear Corporation.</w:t>
      </w:r>
    </w:p>
    <w:p>
      <w:r>
        <w:rPr>
          <w:rFonts w:ascii="Times New Roman" w:hAnsi="Times New Roman" w:eastAsia="微软雅黑"/>
        </w:rPr>
        <w:t>作者衷心感谢国家自然科学基金（项目编号 12175138）、上海市"启明星"计划以及中国核工业集团有限公司"领创"研究项目对本研究的资助支持。</w:t>
      </w:r>
    </w:p>
    <w:p>
      <w:pPr>
        <w:pStyle w:val="Heading1"/>
      </w:pPr>
      <w:r>
        <w:t>附录 / Appendices  (内容摘要)</w:t>
      </w:r>
    </w:p>
    <w:p>
      <w:r>
        <w:rPr>
          <w:rFonts w:ascii="Times New Roman" w:hAnsi="Times New Roman" w:eastAsia="微软雅黑"/>
        </w:rPr>
        <w:t>A. OOD 评估（</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外推：应力 ΔR² 对比；</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OOD R² ≈ 0.29） B. 基线代理完整测试集对比 C. 阈值扩展分析（110, 120, 131 MPa 扫描） D. 完整 Sobol 结果（8 输入 × 2 输出 × 5 模型，含 S_T 指数） E. 全部 15 输出量精度表（FIG A5: 分输出精度图） F. MCMC 迹图（FIG A1） G. 先验–后验边缘分布（FIG A2） H. 代理校准可靠性曲线（FIG A3） I. 异方差预测不确定性可视化（FIG A4） J. 先验–后验预测分布对比（FIG A6） K. HeteroMLP 架构示意图（FIG A7） L. 训练曲线（FIG A8）——五模型损失/指标演化 M. 速度基准详情表（TABLE M1） N. 前向 UQ predictive variant 结果对比（μ-only vs predictive）</w:t>
      </w:r>
    </w:p>
    <w:p>
      <w:r>
        <w:rPr>
          <w:rFonts w:ascii="Times New Roman" w:hAnsi="Times New Roman" w:eastAsia="微软雅黑"/>
          <w:i/>
          <w:color w:val="888888"/>
          <w:sz w:val="18"/>
        </w:rPr>
        <w:t># 投稿前必须完成事项</w:t>
        <w:br/>
        <w:t># ✓ 已确认 data-mono-ineq 为最终主模型（0411 canonical）</w:t>
        <w:br/>
        <w:t># ✓ 全文 forward UQ / Sobol / posterior 定量数字已用 0411 mu-only canonical 更新</w:t>
        <w:br/>
        <w:t># ✓ NCS 结构重排：Introduction → Results → Discussion → Methods</w:t>
        <w:br/>
        <w:t># ✓ 统一命名：constraint-regularized surrogate（正文不出现 data-mono-ineq）</w:t>
        <w:br/>
        <w:t># ✓ 131 MPa 降级为 design-screening threshold</w:t>
        <w:br/>
        <w:t># ✓ 删除全部 keff 压缩叙事（6300 pcm / 95-fold / 183× / two orders of magnitude）</w:t>
        <w:br/>
        <w:t># ✓ 速度数据更新至 2266 s / 1.46e7 / 1.33e10 / 853×</w:t>
        <w:br/>
        <w:t># ✓ nearest-neighbour 检索已完全移除</w:t>
        <w:br/>
        <w:t># ✓ HF rerun（§2.5）定位为从属于 §2.4 的一致性检验</w:t>
        <w:br/>
        <w:t># □ 【待核实】131 MPa 对应确切温度和材料数据源</w:t>
        <w:br/>
        <w:t># □ 【待决】OOD ΔR² = +0.170 是否在正文引用（需 canonical 复现）</w:t>
        <w:br/>
        <w:t># □ 【待决】后验均值 MAE：当前仅 feasible 10 例（4.16 MPa），benchmark 18 例待验</w:t>
        <w:br/>
        <w:t># □ 【待生成】FIG 5C 联合后验密度图</w:t>
        <w:br/>
        <w:t># □ 【待补】Plan A/B HF rerun 完成后更新 §2.5 案例数和统计量</w:t>
        <w:br/>
        <w:t># □ 【待补】MCMC Rhat 定量诊断</w:t>
        <w:br/>
        <w:t># □ 【待补】附录编号统一</w:t>
        <w:br/>
        <w:t># □ Table 1: 与 rpha PPT 核对先验上下界</w:t>
        <w:br/>
        <w:t># □ 统一参考文献格式并编号</w:t>
        <w:br/>
        <w:t># □ 确认数据/代码公开方式</w:t>
        <w:br/>
        <w:t># □ 摘要精简至 ≤150 词（当前约 160）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