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1F3864"/>
          <w:sz w:val="44"/>
          <w:szCs w:val="44"/>
        </w:rPr>
        <w:t xml:space="preserve">STEVENS INSTITUTE OF TECHNOLOGY</w:t>
      </w:r>
    </w:p>
    <w:p>
      <w:pPr>
        <w:spacing w:after="200" w:before="0"/>
        <w:jc w:val="center"/>
      </w:pPr>
      <w:r>
        <w:rPr>
          <w:rFonts w:ascii="Arial" w:cs="Arial" w:eastAsia="Arial" w:hAnsi="Arial"/>
          <w:color w:val="444444"/>
          <w:sz w:val="28"/>
          <w:szCs w:val="28"/>
        </w:rPr>
        <w:t xml:space="preserve">Course &amp; Program Catalogue — Academic Year 2025–2026</w:t>
      </w:r>
    </w:p>
    <w:p>
      <w:pPr>
        <w:spacing w:after="200" w:before="0"/>
        <w:jc w:val="center"/>
      </w:pPr>
      <w:r>
        <w:rPr>
          <w:rFonts w:ascii="Arial" w:cs="Arial" w:eastAsia="Arial" w:hAnsi="Arial"/>
          <w:color w:val="777777"/>
          <w:sz w:val="18"/>
          <w:szCs w:val="18"/>
        </w:rPr>
        <w:t xml:space="preserve">Published: September 2024  |  Office of the Registrar  |  Catalogue Code: CAT-2526</w:t>
      </w:r>
    </w:p>
    <w:p>
      <w:pPr>
        <w:pBdr>
          <w:bottom w:val="single" w:color="1F3864" w:sz="6" w:space="1"/>
        </w:pBdr>
        <w:spacing w:after="120" w:before="120"/>
      </w:pPr>
    </w:p>
    <w:p>
      <w:pPr>
        <w:spacing w:after="80" w:before="60"/>
      </w:pPr>
      <w:r>
        <w:rPr>
          <w:rFonts w:ascii="Arial" w:cs="Arial" w:eastAsia="Arial" w:hAnsi="Arial"/>
          <w:b w:val="false"/>
          <w:bCs w:val="false"/>
          <w:color w:val="555555"/>
          <w:sz w:val="20"/>
          <w:szCs w:val="20"/>
        </w:rPr>
        <w:t xml:space="preserve">This catalogue supersedes all prior versions. Course offerings, credit requirements, and degree structures are subject to change. Students are bound by the requirements of the catalogue in effect at the time of their matriculation, unless a formal program substitution is approved.</w:t>
      </w:r>
    </w:p>
    <w:p>
      <w:pPr>
        <w:pStyle w:val="Heading1"/>
      </w:pPr>
      <w:r>
        <w:rPr>
          <w:rFonts w:ascii="Arial" w:cs="Arial" w:eastAsia="Arial" w:hAnsi="Arial"/>
          <w:b/>
          <w:bCs/>
          <w:color w:val="1F3864"/>
          <w:sz w:val="32"/>
          <w:szCs w:val="32"/>
        </w:rPr>
        <w:t xml:space="preserve">Part I — Schools and Degree Programs</w:t>
      </w:r>
    </w:p>
    <w:p>
      <w:pPr>
        <w:pStyle w:val="Heading2"/>
      </w:pPr>
      <w:r>
        <w:rPr>
          <w:rFonts w:ascii="Arial" w:cs="Arial" w:eastAsia="Arial" w:hAnsi="Arial"/>
          <w:b/>
          <w:bCs/>
          <w:color w:val="1F3864"/>
          <w:sz w:val="26"/>
          <w:szCs w:val="26"/>
        </w:rPr>
        <w:t xml:space="preserve">School of Engineering and Science</w:t>
      </w:r>
    </w:p>
    <w:p>
      <w:pPr>
        <w:spacing w:after="80" w:before="60"/>
      </w:pPr>
      <w:r>
        <w:rPr>
          <w:rFonts w:ascii="Arial" w:cs="Arial" w:eastAsia="Arial" w:hAnsi="Arial"/>
          <w:b w:val="false"/>
          <w:bCs w:val="false"/>
          <w:color w:val="000000"/>
          <w:sz w:val="20"/>
          <w:szCs w:val="20"/>
        </w:rPr>
        <w:t xml:space="preserve">The School of Engineering and Science (SES) offers undergraduate, master's, and doctoral programs across 13 departments. All undergraduate engineering programs are accredited by ABET.</w:t>
      </w:r>
    </w:p>
    <w:p>
      <w:pPr>
        <w:spacing w:after="80" w:before="180"/>
      </w:pPr>
      <w:r>
        <w:rPr>
          <w:rFonts w:ascii="Arial" w:cs="Arial" w:eastAsia="Arial" w:hAnsi="Arial"/>
          <w:b/>
          <w:bCs/>
          <w:color w:val="2E4057"/>
          <w:sz w:val="22"/>
          <w:szCs w:val="22"/>
        </w:rPr>
        <w:t xml:space="preserve">Undergraduate B.E. / B.S.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w:t>
            </w:r>
          </w:p>
        </w:tc>
        <w:tc>
          <w:tcPr>
            <w:tcW w:type="dxa" w:w="24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Degree</w:t>
            </w:r>
          </w:p>
        </w:tc>
        <w:tc>
          <w:tcPr>
            <w:tcW w:type="dxa" w:w="24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Credits</w:t>
            </w:r>
          </w:p>
        </w:tc>
      </w:tr>
      <w:tr>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Biomedical Engineering</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Chemical Engineering</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130</w:t>
            </w:r>
          </w:p>
        </w:tc>
      </w:tr>
      <w:tr>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Civil Engineering</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126</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Computer Engineering</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w:t>
            </w:r>
          </w:p>
        </w:tc>
      </w:tr>
      <w:tr>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Computer Science</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B.S.</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124</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Electrical Engineering</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w:t>
            </w:r>
          </w:p>
        </w:tc>
      </w:tr>
      <w:tr>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Mechanical Engineering</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w:t>
            </w:r>
          </w:p>
        </w:tc>
        <w:tc>
          <w:tcPr>
            <w:tcW w:type="dxa" w:w="24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128</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Physics</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B.S.</w:t>
            </w:r>
          </w:p>
        </w:tc>
        <w:tc>
          <w:tcPr>
            <w:tcW w:type="dxa" w:w="24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w:t>
            </w:r>
          </w:p>
        </w:tc>
      </w:tr>
    </w:tbl>
    <w:p>
      <w:pPr>
        <w:spacing w:after="80" w:before="6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2E4057"/>
          <w:sz w:val="22"/>
          <w:szCs w:val="22"/>
        </w:rPr>
        <w:t xml:space="preserve">Graduate Programs (M.S. &amp; Ph.D.) —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w:t>
            </w:r>
          </w:p>
        </w:tc>
        <w:tc>
          <w:tcPr>
            <w:tcW w:type="dxa" w:w="2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Degree</w:t>
            </w:r>
          </w:p>
        </w:tc>
        <w:tc>
          <w:tcPr>
            <w:tcW w:type="dxa" w:w="2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Credits Required</w:t>
            </w:r>
          </w:p>
        </w:tc>
      </w:tr>
      <w:tr>
        <w:tc>
          <w:tcPr>
            <w:tcW w:type="dxa" w:w="5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Artificial Intelligence</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Computer Science</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 / Ph.D.</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 90</w:t>
            </w:r>
          </w:p>
        </w:tc>
      </w:tr>
      <w:tr>
        <w:tc>
          <w:tcPr>
            <w:tcW w:type="dxa" w:w="5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Cybersecurity</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Science</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5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Electrical Engineering</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 / Ph.D.</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 90</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Mechanical Engineering</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 / Ph.D.</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 90</w:t>
            </w:r>
          </w:p>
        </w:tc>
      </w:tr>
      <w:tr>
        <w:tc>
          <w:tcPr>
            <w:tcW w:type="dxa" w:w="5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Systems Engineering</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bl>
    <w:p>
      <w:pPr>
        <w:spacing w:after="80" w:before="60"/>
      </w:pPr>
      <w:r>
        <w:rPr>
          <w:rFonts w:ascii="Arial" w:cs="Arial" w:eastAsia="Arial" w:hAnsi="Arial"/>
          <w:b w:val="false"/>
          <w:bCs w:val="false"/>
          <w:color w:val="000000"/>
          <w:sz w:val="20"/>
          <w:szCs w:val="20"/>
        </w:rPr>
        <w:t xml:space="preserve"/>
      </w:r>
    </w:p>
    <w:p>
      <w:pPr>
        <w:pStyle w:val="Heading2"/>
      </w:pPr>
      <w:r>
        <w:rPr>
          <w:rFonts w:ascii="Arial" w:cs="Arial" w:eastAsia="Arial" w:hAnsi="Arial"/>
          <w:b/>
          <w:bCs/>
          <w:color w:val="1F3864"/>
          <w:sz w:val="26"/>
          <w:szCs w:val="26"/>
        </w:rPr>
        <w:t xml:space="preserve">School of Business</w:t>
      </w:r>
    </w:p>
    <w:p>
      <w:pPr>
        <w:spacing w:after="80" w:before="60"/>
      </w:pPr>
      <w:r>
        <w:rPr>
          <w:rFonts w:ascii="Arial" w:cs="Arial" w:eastAsia="Arial" w:hAnsi="Arial"/>
          <w:b w:val="false"/>
          <w:bCs w:val="false"/>
          <w:color w:val="000000"/>
          <w:sz w:val="20"/>
          <w:szCs w:val="20"/>
        </w:rPr>
        <w:t xml:space="preserve">The Stevens School of Business is AACSB-accredited and offers programs integrating technology management with core business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w:t>
            </w:r>
          </w:p>
        </w:tc>
        <w:tc>
          <w:tcPr>
            <w:tcW w:type="dxa" w:w="2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Degree</w:t>
            </w:r>
          </w:p>
        </w:tc>
        <w:tc>
          <w:tcPr>
            <w:tcW w:type="dxa" w:w="21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Credits</w:t>
            </w:r>
          </w:p>
        </w:tc>
      </w:tr>
      <w:tr>
        <w:tc>
          <w:tcPr>
            <w:tcW w:type="dxa" w:w="5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Administration</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B.S.</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120</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Intelligence &amp; Analytics</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5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Finance</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M.S.</w:t>
            </w:r>
          </w:p>
        </w:tc>
        <w:tc>
          <w:tcPr>
            <w:tcW w:type="dxa" w:w="21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MBA (Technology Management)</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M.B.A.</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w:t>
            </w:r>
          </w:p>
        </w:tc>
      </w:tr>
    </w:tbl>
    <w:p>
      <w:pPr>
        <w:spacing w:after="80" w:before="60"/>
      </w:pPr>
      <w:r>
        <w:rPr>
          <w:rFonts w:ascii="Arial" w:cs="Arial" w:eastAsia="Arial" w:hAnsi="Arial"/>
          <w:b w:val="false"/>
          <w:bCs w:val="false"/>
          <w:color w:val="000000"/>
          <w:sz w:val="20"/>
          <w:szCs w:val="20"/>
        </w:rPr>
        <w:t xml:space="preserve"/>
      </w:r>
    </w:p>
    <w:p>
      <w:pPr>
        <w:pStyle w:val="Heading1"/>
      </w:pPr>
      <w:r>
        <w:rPr>
          <w:rFonts w:ascii="Arial" w:cs="Arial" w:eastAsia="Arial" w:hAnsi="Arial"/>
          <w:b/>
          <w:bCs/>
          <w:color w:val="1F3864"/>
          <w:sz w:val="32"/>
          <w:szCs w:val="32"/>
        </w:rPr>
        <w:t xml:space="preserve">Part II — Sample Course Listings</w:t>
      </w:r>
    </w:p>
    <w:p>
      <w:pPr>
        <w:pStyle w:val="Heading2"/>
      </w:pPr>
      <w:r>
        <w:rPr>
          <w:rFonts w:ascii="Arial" w:cs="Arial" w:eastAsia="Arial" w:hAnsi="Arial"/>
          <w:b/>
          <w:bCs/>
          <w:color w:val="1F3864"/>
          <w:sz w:val="26"/>
          <w:szCs w:val="26"/>
        </w:rPr>
        <w:t xml:space="preserve">Computer Science (CS) — Selected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230"/>
        <w:gridCol w:w="223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Course #</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Title</w:t>
            </w:r>
          </w:p>
        </w:tc>
        <w:tc>
          <w:tcPr>
            <w:tcW w:type="dxa" w:w="12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Credits</w:t>
            </w:r>
          </w:p>
        </w:tc>
        <w:tc>
          <w:tcPr>
            <w:tcW w:type="dxa" w:w="22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Offered</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101</w:t>
            </w:r>
          </w:p>
        </w:tc>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Introduction to Programming</w:t>
            </w:r>
          </w:p>
        </w:tc>
        <w:tc>
          <w:tcPr>
            <w:tcW w:type="dxa" w:w="1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 Spring</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284</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Structures</w:t>
            </w:r>
          </w:p>
        </w:tc>
        <w:tc>
          <w:tcPr>
            <w:tcW w:type="dxa" w:w="1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 Spring</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334</w:t>
            </w:r>
          </w:p>
        </w:tc>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Algorithms</w:t>
            </w:r>
          </w:p>
        </w:tc>
        <w:tc>
          <w:tcPr>
            <w:tcW w:type="dxa" w:w="1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385</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Systems</w:t>
            </w:r>
          </w:p>
        </w:tc>
        <w:tc>
          <w:tcPr>
            <w:tcW w:type="dxa" w:w="1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442</w:t>
            </w:r>
          </w:p>
        </w:tc>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 Management Systems</w:t>
            </w:r>
          </w:p>
        </w:tc>
        <w:tc>
          <w:tcPr>
            <w:tcW w:type="dxa" w:w="1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 Spring</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556</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Machine Learning</w:t>
            </w:r>
          </w:p>
        </w:tc>
        <w:tc>
          <w:tcPr>
            <w:tcW w:type="dxa" w:w="1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578</w:t>
            </w:r>
          </w:p>
        </w:tc>
        <w:tc>
          <w:tcPr>
            <w:tcW w:type="dxa" w:w="4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Natural Language Processing</w:t>
            </w:r>
          </w:p>
        </w:tc>
        <w:tc>
          <w:tcPr>
            <w:tcW w:type="dxa" w:w="1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Spring</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CS 615</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Advanced Computer Networks</w:t>
            </w:r>
          </w:p>
        </w:tc>
        <w:tc>
          <w:tcPr>
            <w:tcW w:type="dxa" w:w="1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22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Fall</w:t>
            </w:r>
          </w:p>
        </w:tc>
      </w:tr>
    </w:tbl>
    <w:p>
      <w:pPr>
        <w:spacing w:after="80" w:before="60"/>
      </w:pPr>
      <w:r>
        <w:rPr>
          <w:rFonts w:ascii="Arial" w:cs="Arial" w:eastAsia="Arial" w:hAnsi="Arial"/>
          <w:b w:val="false"/>
          <w:bCs w:val="false"/>
          <w:color w:val="000000"/>
          <w:sz w:val="20"/>
          <w:szCs w:val="20"/>
        </w:rPr>
        <w:t xml:space="preserve"/>
      </w:r>
    </w:p>
    <w:p>
      <w:pPr>
        <w:spacing w:after="80" w:before="60"/>
      </w:pPr>
      <w:r>
        <w:rPr>
          <w:rFonts w:ascii="Arial" w:cs="Arial" w:eastAsia="Arial" w:hAnsi="Arial"/>
          <w:b w:val="false"/>
          <w:bCs w:val="false"/>
          <w:color w:val="666666"/>
          <w:sz w:val="20"/>
          <w:szCs w:val="20"/>
        </w:rPr>
        <w:t xml:space="preserve">Note: Course offerings subject to instructor availability and enrollment minimums. Cross-listed courses may be taken for either prefix unless otherwise stated.</w:t>
      </w:r>
    </w:p>
    <w:p>
      <w:pPr>
        <w:pStyle w:val="Heading2"/>
      </w:pPr>
      <w:r>
        <w:rPr>
          <w:rFonts w:ascii="Arial" w:cs="Arial" w:eastAsia="Arial" w:hAnsi="Arial"/>
          <w:b/>
          <w:bCs/>
          <w:color w:val="1F3864"/>
          <w:sz w:val="26"/>
          <w:szCs w:val="26"/>
        </w:rPr>
        <w:t xml:space="preserve">Mathematical Sciences — Core Requirements</w:t>
      </w:r>
    </w:p>
    <w:p>
      <w:pPr>
        <w:pStyle w:val="ListParagraph"/>
        <w:numPr>
          <w:ilvl w:val="0"/>
          <w:numId w:val="2"/>
        </w:numPr>
      </w:pPr>
      <w:r>
        <w:rPr>
          <w:rFonts w:ascii="Arial" w:cs="Arial" w:eastAsia="Arial" w:hAnsi="Arial"/>
          <w:sz w:val="20"/>
          <w:szCs w:val="20"/>
        </w:rPr>
        <w:t xml:space="preserve">MA 121 — Differential Calculus (3 credits)</w:t>
      </w:r>
    </w:p>
    <w:p>
      <w:pPr>
        <w:pStyle w:val="ListParagraph"/>
        <w:numPr>
          <w:ilvl w:val="0"/>
          <w:numId w:val="2"/>
        </w:numPr>
      </w:pPr>
      <w:r>
        <w:rPr>
          <w:rFonts w:ascii="Arial" w:cs="Arial" w:eastAsia="Arial" w:hAnsi="Arial"/>
          <w:sz w:val="20"/>
          <w:szCs w:val="20"/>
        </w:rPr>
        <w:t xml:space="preserve">MA 122 — Integral Calculus (3 credits)</w:t>
      </w:r>
    </w:p>
    <w:p>
      <w:pPr>
        <w:pStyle w:val="ListParagraph"/>
        <w:numPr>
          <w:ilvl w:val="0"/>
          <w:numId w:val="2"/>
        </w:numPr>
      </w:pPr>
      <w:r>
        <w:rPr>
          <w:rFonts w:ascii="Arial" w:cs="Arial" w:eastAsia="Arial" w:hAnsi="Arial"/>
          <w:sz w:val="20"/>
          <w:szCs w:val="20"/>
        </w:rPr>
        <w:t xml:space="preserve">MA 221 — Differential Equations (3 credits)</w:t>
      </w:r>
    </w:p>
    <w:p>
      <w:pPr>
        <w:pStyle w:val="ListParagraph"/>
        <w:numPr>
          <w:ilvl w:val="0"/>
          <w:numId w:val="2"/>
        </w:numPr>
      </w:pPr>
      <w:r>
        <w:rPr>
          <w:rFonts w:ascii="Arial" w:cs="Arial" w:eastAsia="Arial" w:hAnsi="Arial"/>
          <w:sz w:val="20"/>
          <w:szCs w:val="20"/>
        </w:rPr>
        <w:t xml:space="preserve">MA 222 — Probability and Statistics (3 credits)</w:t>
      </w:r>
    </w:p>
    <w:p>
      <w:pPr>
        <w:pStyle w:val="ListParagraph"/>
        <w:numPr>
          <w:ilvl w:val="0"/>
          <w:numId w:val="2"/>
        </w:numPr>
      </w:pPr>
      <w:r>
        <w:rPr>
          <w:rFonts w:ascii="Arial" w:cs="Arial" w:eastAsia="Arial" w:hAnsi="Arial"/>
          <w:sz w:val="20"/>
          <w:szCs w:val="20"/>
        </w:rPr>
        <w:t xml:space="preserve">MA 346 — Numerical Methods (3 credits)</w:t>
      </w:r>
    </w:p>
    <w:p>
      <w:pPr>
        <w:pStyle w:val="Heading1"/>
      </w:pPr>
      <w:r>
        <w:rPr>
          <w:rFonts w:ascii="Arial" w:cs="Arial" w:eastAsia="Arial" w:hAnsi="Arial"/>
          <w:b/>
          <w:bCs/>
          <w:color w:val="1F3864"/>
          <w:sz w:val="32"/>
          <w:szCs w:val="32"/>
        </w:rPr>
        <w:t xml:space="preserve">Part III — Academic Policies</w:t>
      </w:r>
    </w:p>
    <w:p>
      <w:pPr>
        <w:pStyle w:val="Heading2"/>
      </w:pPr>
      <w:r>
        <w:rPr>
          <w:rFonts w:ascii="Arial" w:cs="Arial" w:eastAsia="Arial" w:hAnsi="Arial"/>
          <w:b/>
          <w:bCs/>
          <w:color w:val="1F3864"/>
          <w:sz w:val="26"/>
          <w:szCs w:val="26"/>
        </w:rPr>
        <w:t xml:space="preserve">Grading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Grade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Points</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w:t>
            </w:r>
          </w:p>
        </w:tc>
        <w:tc>
          <w:tcPr>
            <w:tcW w:type="dxa" w:w="234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0.0</w:t>
            </w:r>
          </w:p>
        </w:tc>
      </w:tr>
    </w:tbl>
    <w:p>
      <w:pPr>
        <w:spacing w:after="80" w:before="60"/>
      </w:pPr>
      <w:r>
        <w:rPr>
          <w:rFonts w:ascii="Arial" w:cs="Arial" w:eastAsia="Arial" w:hAnsi="Arial"/>
          <w:b w:val="false"/>
          <w:bCs w:val="false"/>
          <w:color w:val="000000"/>
          <w:sz w:val="20"/>
          <w:szCs w:val="20"/>
        </w:rPr>
        <w:t xml:space="preserve"/>
      </w:r>
    </w:p>
    <w:p>
      <w:pPr>
        <w:spacing w:after="80" w:before="60"/>
      </w:pPr>
      <w:r>
        <w:rPr>
          <w:rFonts w:ascii="Arial" w:cs="Arial" w:eastAsia="Arial" w:hAnsi="Arial"/>
          <w:b w:val="false"/>
          <w:bCs w:val="false"/>
          <w:color w:val="000000"/>
          <w:sz w:val="20"/>
          <w:szCs w:val="20"/>
        </w:rPr>
        <w:t xml:space="preserve">Minimum GPA for academic standing: 2.0 undergraduate / 3.0 graduate. Students falling below the minimum will be placed on academic probation.</w:t>
      </w:r>
    </w:p>
    <w:sectPr>
      <w:headerReference w:type="default" r:id="rId7"/>
      <w:footerReference w:type="default" r:id="rId8"/>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60"/>
      <w:jc w:val="center"/>
    </w:pPr>
    <w:r>
      <w:rPr>
        <w:rFonts w:ascii="Arial" w:cs="Arial" w:eastAsia="Arial" w:hAnsi="Arial"/>
        <w:color w:val="777777"/>
        <w:sz w:val="16"/>
        <w:szCs w:val="16"/>
      </w:rPr>
      <w:t xml:space="preserve">Hoboken, NJ 07030  |  stevens.edu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00"/>
      <w:jc w:val="right"/>
    </w:pPr>
    <w:r>
      <w:rPr>
        <w:rFonts w:ascii="Arial" w:cs="Arial" w:eastAsia="Arial" w:hAnsi="Arial"/>
        <w:color w:val="555555"/>
        <w:sz w:val="18"/>
        <w:szCs w:val="18"/>
      </w:rPr>
      <w:t xml:space="preserve">Stevens Institute of Technology  |  Course &amp; Program Catalogue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2026-05-05T15:13:48.781Z</dcterms:created>
  <dcterms:modified xsi:type="dcterms:W3CDTF">2026-05-05T15:13:48.781Z</dcterms:modified>
</cp:coreProperties>
</file>

<file path=docProps/custom.xml><?xml version="1.0" encoding="utf-8"?>
<Properties xmlns="http://schemas.openxmlformats.org/officeDocument/2006/custom-properties" xmlns:vt="http://schemas.openxmlformats.org/officeDocument/2006/docPropsVTypes"/>
</file>