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Admissions Requirements — Synthetic Test Data</w:t>
      </w:r>
    </w:p>
    <w:p>
      <w:pPr>
        <w:jc w:val="center"/>
      </w:pPr>
      <w:r>
        <w:rPr>
          <w:i/>
        </w:rPr>
        <w:t>Publication date: September 1, 2026</w:t>
      </w:r>
    </w:p>
    <w:p>
      <w:r>
        <w:t>SYNTHETIC TEST DATA — NOT AN OFFICIAL STEVENS INSTITUTE OF TECHNOLOGY DOCUMENT</w:t>
      </w:r>
    </w:p>
    <w:p>
      <w:r>
        <w:t>Purpose: Study/testing document for a university knowledge-base retrieval system.</w:t>
      </w:r>
    </w:p>
    <w:p>
      <w:r>
        <w:t>Graduate applicants are expected to submit an online application, application fee, academic transcripts, résumé or curriculum vitae, statement of purpose, and any program-specific materials identified by the intended program. International applicants may additionally be asked for proof of English proficiency and immigration-related documentation after admission.</w:t>
      </w:r>
    </w:p>
    <w:p>
      <w:r>
        <w:t>Eligibility: Applicants should hold an appropriate undergraduate degree from an accredited institution or an equivalent international credential. Individual programs may impose additional academic prerequisites, minimum preparation, portfolio requirements, or standardized-test policies.</w:t>
      </w:r>
    </w:p>
    <w:p>
      <w:r>
        <w:t>Important: Requirements can vary by program and admission term. When requirements conflict, the program-specific requirement and the applicable admission-year document should be treated as the more specific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