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Undergraduate Admissions Requirements — Synthetic Test Data</w:t>
      </w:r>
    </w:p>
    <w:p>
      <w:pPr>
        <w:jc w:val="center"/>
      </w:pPr>
      <w:r>
        <w:rPr>
          <w:i/>
        </w:rPr>
        <w:t>Publication date: September 1, 2026</w:t>
      </w:r>
    </w:p>
    <w:p>
      <w:r>
        <w:t>SYNTHETIC TEST DATA — NOT AN OFFICIAL STEVENS INSTITUTE OF TECHNOLOGY DOCUMENT</w:t>
      </w:r>
    </w:p>
    <w:p>
      <w:r>
        <w:t>Purpose: Study/testing document for applicant-type retrieval.</w:t>
      </w:r>
    </w:p>
    <w:p>
      <w:r>
        <w:t>First-year applicants generally submit an online application, secondary-school academic records, required essays or responses, and other materials specified for the admission cycle. Transfer applicants submit postsecondary transcripts and transfer-specific information in addition to the standard application materials.</w:t>
      </w:r>
    </w:p>
    <w:p>
      <w:r>
        <w:t>Applicants should verify whether a requirement applies to first-year, transfer, international, or other applicant categories. The same material should not be assumed to have identical requirements across applicant types.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