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Graduate Tuition and Fee Schedule 2026–2027 — Synthetic Test Data</w:t>
      </w:r>
    </w:p>
    <w:p>
      <w:pPr>
        <w:jc w:val="center"/>
      </w:pPr>
      <w:r>
        <w:rPr>
          <w:i/>
        </w:rPr>
        <w:t>Publication date: July 1, 2026</w:t>
      </w:r>
    </w:p>
    <w:p>
      <w:r>
        <w:t>SYNTHETIC TEST DATA — NOT AN OFFICIAL STEVENS INSTITUTE OF TECHNOLOGY DOCUMENT</w:t>
      </w:r>
    </w:p>
    <w:p>
      <w:r>
        <w:t>Academic year: 2026–2027</w:t>
      </w:r>
    </w:p>
    <w:p>
      <w:r>
        <w:t>Synthetic planning figures:</w:t>
        <w:br/>
        <w:t>Graduate tuition: $1,925 per credit</w:t>
        <w:br/>
        <w:t>Graduate technology fee: $190 per semester</w:t>
        <w:br/>
        <w:t>Graduate student services fee: $125 per semester</w:t>
      </w:r>
    </w:p>
    <w:p>
      <w:r>
        <w:t>These figures are synthetic and exist only to test year-specific table retrieval. They must not be used for financial planning or real enrollment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