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Scholarship Policy — Synthetic Test Data</w:t>
      </w:r>
    </w:p>
    <w:p>
      <w:pPr>
        <w:jc w:val="center"/>
      </w:pPr>
      <w:r>
        <w:rPr>
          <w:i/>
        </w:rPr>
        <w:t>Publication date: August 10, 2026</w:t>
      </w:r>
    </w:p>
    <w:p>
      <w:r>
        <w:t>SYNTHETIC TEST DATA — NOT AN OFFICIAL STEVENS INSTITUTE OF TECHNOLOGY DOCUMENT</w:t>
      </w:r>
    </w:p>
    <w:p>
      <w:r>
        <w:t>Eligibility for the synthetic graduate scholarship requires full-time enrollment, satisfactory academic progress, and submission of the scholarship application by the stated deadline.</w:t>
      </w:r>
    </w:p>
    <w:p>
      <w:r>
        <w:t>Award continuation is reviewed each academic year. A student who falls below the synthetic academic-progress threshold may become ineligible for renewal.</w:t>
      </w:r>
    </w:p>
    <w:p>
      <w:r>
        <w:t>Scholarship eligibility and assistantship eligibility are separate categories and should not be conflated during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