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Graduate Assistantship Policy — Synthetic Test Data</w:t>
      </w:r>
    </w:p>
    <w:p>
      <w:pPr>
        <w:jc w:val="center"/>
      </w:pPr>
      <w:r>
        <w:rPr>
          <w:i/>
        </w:rPr>
        <w:t>Publication date: August 10, 2026</w:t>
      </w:r>
    </w:p>
    <w:p>
      <w:r>
        <w:t>SYNTHETIC TEST DATA — NOT AN OFFICIAL STEVENS INSTITUTE OF TECHNOLOGY DOCUMENT</w:t>
      </w:r>
    </w:p>
    <w:p>
      <w:r>
        <w:t>Synthetic graduate assistantships may include teaching-assistant, course-assistant, research-assistant, or other approved roles.</w:t>
      </w:r>
    </w:p>
    <w:p>
      <w:r>
        <w:t>Eligibility may depend on enrollment status, academic standing, appointment availability, and departmental approval. An appointment is not guaranteed merely because a student satisfies baseline eligibility.</w:t>
      </w:r>
    </w:p>
    <w:p>
      <w:r>
        <w:t>Students receiving an assistantship must follow the duties, workload limits, and appointment dates stated in the appointment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