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Graduate Housing Policy — Synthetic Test Data</w:t>
      </w:r>
    </w:p>
    <w:p>
      <w:pPr>
        <w:jc w:val="center"/>
      </w:pPr>
      <w:r>
        <w:rPr>
          <w:i/>
        </w:rPr>
        <w:t>Publication date: July 20, 2026</w:t>
      </w:r>
    </w:p>
    <w:p>
      <w:r>
        <w:t>SYNTHETIC TEST DATA — NOT AN OFFICIAL STEVENS INSTITUTE OF TECHNOLOGY DOCUMENT</w:t>
      </w:r>
    </w:p>
    <w:p>
      <w:r>
        <w:t>Synthetic graduate housing policy:</w:t>
        <w:br/>
        <w:t>Housing applications are subject to availability and application deadlines. Residents must follow occupancy, guest, maintenance, safety, and move-out requirements.</w:t>
      </w:r>
    </w:p>
    <w:p>
      <w:r>
        <w:t>Housing eligibility does not guarantee a housing assignment. Assignment priority may depend on the criteria published for the relevant housing cycle.</w:t>
      </w:r>
    </w:p>
    <w:p>
      <w:r>
        <w:t>Questions about billing, contracts, or cancellations should be answered from the applicable housing agreement rather than inferred from this general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