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Dining Services Policy — Synthetic Test Data</w:t>
      </w:r>
    </w:p>
    <w:p>
      <w:pPr>
        <w:jc w:val="center"/>
      </w:pPr>
      <w:r>
        <w:rPr>
          <w:i/>
        </w:rPr>
        <w:t>Publication date: July 20, 2026</w:t>
      </w:r>
    </w:p>
    <w:p>
      <w:r>
        <w:t>SYNTHETIC TEST DATA — NOT AN OFFICIAL STEVENS INSTITUTE OF TECHNOLOGY DOCUMENT</w:t>
      </w:r>
    </w:p>
    <w:p>
      <w:r>
        <w:t>Synthetic dining policy:</w:t>
        <w:br/>
        <w:t>Meal-plan options vary by student category and housing arrangement. Meal-plan changes must follow the published change window.</w:t>
      </w:r>
    </w:p>
    <w:p>
      <w:r>
        <w:t>Unused meal-plan balances, guest meals, and dining-hall access are governed by the applicable plan terms. A dining plan should not be assumed to carry identical rules across academic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