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Admissions Requirements — Synthetic Test Data</w:t>
      </w:r>
    </w:p>
    <w:p>
      <w:pPr>
        <w:jc w:val="center"/>
      </w:pPr>
      <w:r>
        <w:rPr>
          <w:i/>
        </w:rPr>
        <w:t>Publication date: September 1, 2025</w:t>
      </w:r>
    </w:p>
    <w:p>
      <w:r>
        <w:t>SYNTHETIC TEST DATA — NOT AN OFFICIAL STEVENS INSTITUTE OF TECHNOLOGY DOCUMENT</w:t>
      </w:r>
    </w:p>
    <w:p>
      <w:r>
        <w:t>Academic year: 2025–2026</w:t>
      </w:r>
    </w:p>
    <w:p>
      <w:r>
        <w:t>Graduate applicants submit an online application, application fee, academic transcripts, résumé or curriculum vitae, statement of purpose, and program-specific materials where applicable.</w:t>
      </w:r>
    </w:p>
    <w:p>
      <w:r>
        <w:t>International applicants may have additional English-proficiency and immigration-document requirements. Requirements can change by program and admission term.</w:t>
      </w:r>
    </w:p>
    <w:p>
      <w:r>
        <w:t>This prior version is retained to test whether a system can distinguish current and previous admissions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