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Scholarship and Assistantship FAQ — Synthetic Test Data</w:t>
      </w:r>
    </w:p>
    <w:p>
      <w:pPr>
        <w:jc w:val="center"/>
      </w:pPr>
      <w:r>
        <w:rPr>
          <w:i/>
        </w:rPr>
        <w:t>Publication date: August 15, 2026</w:t>
      </w:r>
    </w:p>
    <w:p>
      <w:r>
        <w:t>SYNTHETIC TEST DATA — NOT AN OFFICIAL STEVENS INSTITUTE OF TECHNOLOGY DOCUMENT</w:t>
      </w:r>
    </w:p>
    <w:p>
      <w:r>
        <w:t>Q: Does scholarship eligibility automatically create an assistantship?</w:t>
        <w:br/>
        <w:t>A: No. The synthetic policies treat scholarships and assistantships as separate programs with separate eligibility and appointment processes.</w:t>
      </w:r>
    </w:p>
    <w:p>
      <w:r>
        <w:t>Q: Does meeting assistantship eligibility guarantee an appointment?</w:t>
        <w:br/>
        <w:t>A: No. Appointments depend on availability and departmental approval.</w:t>
      </w:r>
    </w:p>
    <w:p>
      <w:r>
        <w:t>Q: Can a student use a general policy to answer a contract-specific question?</w:t>
        <w:br/>
        <w:t>A: No. The applicable agreement or appointment notice should control when it contains more specific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