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Registration, Add/Drop, and Withdrawal Policy — Synthetic Test Data</w:t>
      </w:r>
    </w:p>
    <w:p>
      <w:pPr>
        <w:jc w:val="center"/>
      </w:pPr>
      <w:r>
        <w:rPr>
          <w:i/>
        </w:rPr>
        <w:t>Publication date: August 18, 2026</w:t>
      </w:r>
    </w:p>
    <w:p>
      <w:r>
        <w:t>SYNTHETIC TEST DATA — NOT AN OFFICIAL STEVENS INSTITUTE OF TECHNOLOGY DOCUMENT</w:t>
      </w:r>
    </w:p>
    <w:p>
      <w:r>
        <w:t>Students register for courses during the registration period assigned to their student category. Add/drop and withdrawal deadlines are term-specific and should be checked against the applicable academic calendar or registration notice.</w:t>
      </w:r>
    </w:p>
    <w:p>
      <w:r>
        <w:t>A course prerequisite must be satisfied or formally approved according to the institution's process before registration can be completed when the system enforces that prerequisite.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