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26"/>
          <w:szCs w:val="26"/>
        </w:rPr>
        <w:t xml:space="preserve">Corpus construction, section extraction, and the complete transport matrix</w:t>
      </w:r>
    </w:p>
    <w:p>
      <w:pPr>
        <w:spacing w:after="200"/>
      </w:pPr>
      <w:r>
        <w:rPr>
          <w:rFonts w:ascii="Calibri" w:cs="Calibri" w:eastAsia="Calibri" w:hAnsi="Calibri"/>
          <w:i/>
          <w:iCs/>
          <w:sz w:val="20"/>
          <w:szCs w:val="20"/>
        </w:rPr>
        <w:t xml:space="preserve">Baseline, corrected, and change in mean reciprocal rank at cutoff 10 for every configuration, corpus, query format, and document variant, with nominal and benchmark-response subgroup assignment.</w:t>
      </w:r>
    </w:p>
    <w:p>
      <w:pPr>
        <w:spacing w:after="90" w:before="240"/>
      </w:pPr>
      <w:r>
        <w:rPr>
          <w:rFonts w:ascii="Calibri" w:cs="Calibri" w:eastAsia="Calibri" w:hAnsi="Calibri"/>
          <w:b/>
          <w:bCs/>
          <w:sz w:val="21"/>
          <w:szCs w:val="21"/>
        </w:rPr>
        <w:t xml:space="preserve">Column definitions</w:t>
      </w:r>
    </w:p>
    <w:tbl>
      <w:tblPr>
        <w:tblW w:type="dxa" w:w="9850"/>
        <w:tblBorders>
          <w:top w:val="single" w:color="BFBFBF" w:sz="4"/>
          <w:left w:val="single" w:color="BFBFBF" w:sz="4"/>
          <w:bottom w:val="single" w:color="BFBFBF" w:sz="4"/>
          <w:right w:val="single" w:color="BFBFBF" w:sz="4"/>
          <w:insideH w:val="single" w:color="BFBFBF" w:sz="4"/>
          <w:insideV w:val="single" w:color="BFBFBF" w:sz="4"/>
        </w:tblBorders>
      </w:tblPr>
      <w:tblGrid>
        <w:gridCol w:w="4324"/>
        <w:gridCol w:w="5526"/>
      </w:tblGrid>
      <w:tr>
        <w:trPr>
          <w:cantSplit/>
          <w:tblHeader/>
        </w:trPr>
        <w:tc>
          <w:tcPr>
            <w:tcW w:type="dxa" w:w="4324"/>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column</w:t>
            </w:r>
          </w:p>
        </w:tc>
        <w:tc>
          <w:tcPr>
            <w:tcW w:type="dxa" w:w="5526"/>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definition</w:t>
            </w:r>
          </w:p>
        </w:tc>
      </w:tr>
      <w:tr>
        <w:trPr>
          <w:cantSplit/>
          <w:tblHeader w:val="false"/>
        </w:trPr>
        <w:tc>
          <w:tcPr>
            <w:tcW w:type="dxa" w:w="432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Corpus</w:t>
            </w:r>
          </w:p>
        </w:tc>
        <w:tc>
          <w:tcPr>
            <w:tcW w:type="dxa" w:w="552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er_reason (UCSF) or mimic_discharge (BIDMC)</w:t>
            </w:r>
          </w:p>
        </w:tc>
      </w:tr>
      <w:tr>
        <w:trPr>
          <w:cantSplit/>
          <w:tblHeader w:val="false"/>
        </w:trPr>
        <w:tc>
          <w:tcPr>
            <w:tcW w:type="dxa" w:w="432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Document variant</w:t>
            </w:r>
          </w:p>
        </w:tc>
        <w:tc>
          <w:tcPr>
            <w:tcW w:type="dxa" w:w="552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hpi = presenting-narrative section (primary analysis); full512 = whole note with all configurations capped at 512 tokens (sensitivity analysis)</w:t>
            </w:r>
          </w:p>
        </w:tc>
      </w:tr>
      <w:tr>
        <w:trPr>
          <w:cantSplit/>
          <w:tblHeader w:val="false"/>
        </w:trPr>
        <w:tc>
          <w:tcPr>
            <w:tcW w:type="dxa" w:w="432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Query format</w:t>
            </w:r>
          </w:p>
        </w:tc>
        <w:tc>
          <w:tcPr>
            <w:tcW w:type="dxa" w:w="552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nl = natural language; keyword = keyword</w:t>
            </w:r>
          </w:p>
        </w:tc>
      </w:tr>
      <w:tr>
        <w:trPr>
          <w:cantSplit/>
          <w:tblHeader w:val="false"/>
        </w:trPr>
        <w:tc>
          <w:tcPr>
            <w:tcW w:type="dxa" w:w="432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Configuration</w:t>
            </w:r>
          </w:p>
        </w:tc>
        <w:tc>
          <w:tcPr>
            <w:tcW w:type="dxa" w:w="552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embedding configuration as specified in the panel</w:t>
            </w:r>
          </w:p>
        </w:tc>
      </w:tr>
      <w:tr>
        <w:trPr>
          <w:cantSplit/>
          <w:tblHeader w:val="false"/>
        </w:trPr>
        <w:tc>
          <w:tcPr>
            <w:tcW w:type="dxa" w:w="432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Nominal tier</w:t>
            </w:r>
          </w:p>
        </w:tc>
        <w:tc>
          <w:tcPr>
            <w:tcW w:type="dxa" w:w="552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 = nominal harm tier; 2 = nominal benefit tier</w:t>
            </w:r>
          </w:p>
        </w:tc>
      </w:tr>
      <w:tr>
        <w:trPr>
          <w:cantSplit/>
          <w:tblHeader w:val="false"/>
        </w:trPr>
        <w:tc>
          <w:tcPr>
            <w:tcW w:type="dxa" w:w="432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Max tokens</w:t>
            </w:r>
          </w:p>
        </w:tc>
        <w:tc>
          <w:tcPr>
            <w:tcW w:type="dxa" w:w="552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sequence length used for that variant</w:t>
            </w:r>
          </w:p>
        </w:tc>
      </w:tr>
      <w:tr>
        <w:trPr>
          <w:cantSplit/>
          <w:tblHeader w:val="false"/>
        </w:trPr>
        <w:tc>
          <w:tcPr>
            <w:tcW w:type="dxa" w:w="432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Baseline MRR@10</w:t>
            </w:r>
          </w:p>
        </w:tc>
        <w:tc>
          <w:tcPr>
            <w:tcW w:type="dxa" w:w="552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mean reciprocal rank at cutoff 10 before correction</w:t>
            </w:r>
          </w:p>
        </w:tc>
      </w:tr>
      <w:tr>
        <w:trPr>
          <w:cantSplit/>
          <w:tblHeader w:val="false"/>
        </w:trPr>
        <w:tc>
          <w:tcPr>
            <w:tcW w:type="dxa" w:w="432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Corrected MRR@10</w:t>
            </w:r>
          </w:p>
        </w:tc>
        <w:tc>
          <w:tcPr>
            <w:tcW w:type="dxa" w:w="552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mean reciprocal rank at cutoff 10 after corpus-only whitening at epsilon = 1e-5</w:t>
            </w:r>
          </w:p>
        </w:tc>
      </w:tr>
      <w:tr>
        <w:trPr>
          <w:cantSplit/>
          <w:tblHeader w:val="false"/>
        </w:trPr>
        <w:tc>
          <w:tcPr>
            <w:tcW w:type="dxa" w:w="432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dMRR@10</w:t>
            </w:r>
          </w:p>
        </w:tc>
        <w:tc>
          <w:tcPr>
            <w:tcW w:type="dxa" w:w="552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corrected minus baseline</w:t>
            </w:r>
          </w:p>
        </w:tc>
      </w:tr>
      <w:tr>
        <w:trPr>
          <w:cantSplit/>
          <w:tblHeader w:val="false"/>
        </w:trPr>
        <w:tc>
          <w:tcPr>
            <w:tcW w:type="dxa" w:w="432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nominal subgroup</w:t>
            </w:r>
          </w:p>
        </w:tc>
        <w:tc>
          <w:tcPr>
            <w:tcW w:type="dxa" w:w="552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harmed or benefited, from the nominal tier</w:t>
            </w:r>
          </w:p>
        </w:tc>
      </w:tr>
      <w:tr>
        <w:trPr>
          <w:cantSplit/>
          <w:tblHeader w:val="false"/>
        </w:trPr>
        <w:tc>
          <w:tcPr>
            <w:tcW w:type="dxa" w:w="432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retains assignment</w:t>
            </w:r>
          </w:p>
        </w:tc>
        <w:tc>
          <w:tcPr>
            <w:tcW w:type="dxa" w:w="552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whether the measured sign matches the nominal tier</w:t>
            </w:r>
          </w:p>
        </w:tc>
      </w:tr>
      <w:tr>
        <w:trPr>
          <w:cantSplit/>
          <w:tblHeader w:val="false"/>
        </w:trPr>
        <w:tc>
          <w:tcPr>
            <w:tcW w:type="dxa" w:w="432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benchmark response group</w:t>
            </w:r>
          </w:p>
        </w:tc>
        <w:tc>
          <w:tcPr>
            <w:tcW w:type="dxa" w:w="552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harmed or benefited, from the sign of the configuration's mean effect on the derivation corpora; differs from nominal tier for E5-Mistral-7B-ablation</w:t>
            </w:r>
          </w:p>
        </w:tc>
      </w:tr>
      <w:tr>
        <w:trPr>
          <w:cantSplit/>
          <w:tblHeader w:val="false"/>
        </w:trPr>
        <w:tc>
          <w:tcPr>
            <w:tcW w:type="dxa" w:w="432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agrees with benchmark response group</w:t>
            </w:r>
          </w:p>
        </w:tc>
        <w:tc>
          <w:tcPr>
            <w:tcW w:type="dxa" w:w="552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whether the measured sign matches that group</w:t>
            </w:r>
          </w:p>
        </w:tc>
      </w:tr>
    </w:tbl>
    <w:p>
      <w:pPr>
        <w:spacing w:after="130" w:line="276"/>
      </w:pPr>
      <w:r>
        <w:rPr>
          <w:rFonts w:ascii="Calibri" w:cs="Calibri" w:eastAsia="Calibri" w:hAnsi="Calibri"/>
          <w:sz w:val="20"/>
          <w:szCs w:val="20"/>
        </w:rPr>
        <w:t xml:space="preserve">Nominal agreement is 52 of 52 on section-level text and 47 of 52 under whole-note encoding at matched context length. Benchmark-response agreement is 48 of 52 on section-level text; the difference is E5-Mistral-7B-ablation, which is harmed on the benchmark corpora and benefited in all four institutional conditions.</w:t>
      </w:r>
    </w:p>
    <w:p>
      <w:pPr>
        <w:spacing w:after="90" w:before="240"/>
      </w:pPr>
      <w:r>
        <w:rPr>
          <w:rFonts w:ascii="Calibri" w:cs="Calibri" w:eastAsia="Calibri" w:hAnsi="Calibri"/>
          <w:b/>
          <w:bCs/>
          <w:sz w:val="21"/>
          <w:szCs w:val="21"/>
        </w:rPr>
        <w:t xml:space="preserve">Corpus construction</w:t>
      </w:r>
    </w:p>
    <w:p>
      <w:pPr>
        <w:spacing w:after="130" w:line="276"/>
      </w:pPr>
      <w:r>
        <w:rPr>
          <w:rFonts w:ascii="Calibri" w:cs="Calibri" w:eastAsia="Calibri" w:hAnsi="Calibri"/>
          <w:sz w:val="20"/>
          <w:szCs w:val="20"/>
        </w:rPr>
        <w:t xml:space="preserve">Sources were ER-Reason v1.0.0, UCSF emergency-department provider notes, and MIMIC-IV-Note v2.2, BIDMC discharge summaries. Both are PhysioNet credentialed-access resources and note text is not redistributed here.</w:t>
      </w:r>
    </w:p>
    <w:p>
      <w:pPr>
        <w:spacing w:after="130" w:line="276"/>
      </w:pPr>
      <w:r>
        <w:rPr>
          <w:rFonts w:ascii="Calibri" w:cs="Calibri" w:eastAsia="Calibri" w:hAnsi="Calibri"/>
          <w:sz w:val="20"/>
          <w:szCs w:val="20"/>
        </w:rPr>
        <w:t xml:space="preserve">One hundred documents were sampled per corpus at random seed 42, without replacement, from documents of at least 400 characters. Sampling was unstratified because the six derivation conditions are unstratified, and any change in the screening curve could not otherwise be attributed to the corpora rather than to the sampling.</w:t>
      </w:r>
    </w:p>
    <w:p>
      <w:pPr>
        <w:spacing w:after="130" w:line="276"/>
      </w:pPr>
      <w:r>
        <w:rPr>
          <w:rFonts w:ascii="Calibri" w:cs="Calibri" w:eastAsia="Calibri" w:hAnsi="Calibri"/>
          <w:sz w:val="20"/>
          <w:szCs w:val="20"/>
        </w:rPr>
        <w:t xml:space="preserve">Median document length was 6,741 characters for ER-Reason and 9,774 characters for MIMIC-IV-Note, against approximately 400 tokens in the benchmark set.</w:t>
      </w:r>
    </w:p>
    <w:p>
      <w:pPr>
        <w:spacing w:after="90" w:before="240"/>
      </w:pPr>
      <w:r>
        <w:rPr>
          <w:rFonts w:ascii="Calibri" w:cs="Calibri" w:eastAsia="Calibri" w:hAnsi="Calibri"/>
          <w:b/>
          <w:bCs/>
          <w:sz w:val="21"/>
          <w:szCs w:val="21"/>
        </w:rPr>
        <w:t xml:space="preserve">Section extraction</w:t>
      </w:r>
    </w:p>
    <w:p>
      <w:pPr>
        <w:spacing w:after="130" w:line="276"/>
      </w:pPr>
      <w:r>
        <w:rPr>
          <w:rFonts w:ascii="Calibri" w:cs="Calibri" w:eastAsia="Calibri" w:hAnsi="Calibri"/>
          <w:sz w:val="20"/>
          <w:szCs w:val="20"/>
        </w:rPr>
        <w:t xml:space="preserve">The presenting narrative was identified by header. Extraction succeeded on 100 of 100 documents in both corpora, but the header vocabulary differs between them.</w:t>
      </w:r>
    </w:p>
    <w:p>
      <w:pPr>
        <w:spacing w:after="70" w:line="264"/>
        <w:ind w:left="360" w:hanging="200"/>
      </w:pPr>
      <w:r>
        <w:rPr>
          <w:rFonts w:ascii="Calibri" w:cs="Calibri" w:eastAsia="Calibri" w:hAnsi="Calibri"/>
          <w:sz w:val="20"/>
          <w:szCs w:val="20"/>
        </w:rPr>
        <w:t xml:space="preserve">•  MIMIC-IV-Note: "Brief Hospital Course" or "History of Present Illness".</w:t>
      </w:r>
    </w:p>
    <w:p>
      <w:pPr>
        <w:spacing w:after="70" w:line="264"/>
        <w:ind w:left="360" w:hanging="200"/>
      </w:pPr>
      <w:r>
        <w:rPr>
          <w:rFonts w:ascii="Calibri" w:cs="Calibri" w:eastAsia="Calibri" w:hAnsi="Calibri"/>
          <w:sz w:val="20"/>
          <w:szCs w:val="20"/>
        </w:rPr>
        <w:t xml:space="preserve">•  ER-Reason: "History of Present Illness" appears in only a small minority of the sampled notes, so matching required "HISTORY" with a whitespace boundary.</w:t>
      </w:r>
    </w:p>
    <w:p>
      <w:pPr>
        <w:spacing w:after="130" w:line="276"/>
      </w:pPr>
      <w:r>
        <w:rPr>
          <w:rFonts w:ascii="Calibri" w:cs="Calibri" w:eastAsia="Calibri" w:hAnsi="Calibri"/>
          <w:sz w:val="20"/>
          <w:szCs w:val="20"/>
        </w:rPr>
        <w:t xml:space="preserve">Median extract length was 694 characters for ER-Reason and 1,269 characters for MIMIC-IV-Note. Both are length-comparable to the benchmark corpora and are encoded whole by every configuration in the panel.</w:t>
      </w:r>
    </w:p>
    <w:p>
      <w:pPr>
        <w:spacing w:after="130" w:line="276"/>
      </w:pPr>
      <w:r>
        <w:rPr>
          <w:rFonts w:ascii="Calibri" w:cs="Calibri" w:eastAsia="Calibri" w:hAnsi="Calibri"/>
          <w:sz w:val="20"/>
          <w:szCs w:val="20"/>
        </w:rPr>
        <w:t xml:space="preserve">Seven of 100 ER-Reason extracts retain a leading form-field label. The label was retained as part of the source document text and was therefore present identically for all evaluated configurations. It affects document text only, never queries; its contribution to the document covariance on which the transform is fitted was not quantified.</w:t>
      </w:r>
    </w:p>
    <w:p>
      <w:pPr>
        <w:spacing w:after="130" w:line="276"/>
      </w:pPr>
      <w:r>
        <w:rPr>
          <w:rFonts w:ascii="Calibri" w:cs="Calibri" w:eastAsia="Calibri" w:hAnsi="Calibri"/>
          <w:sz w:val="20"/>
          <w:szCs w:val="20"/>
        </w:rPr>
        <w:t xml:space="preserve">The same clinical section, differently labelled in two corpora and requiring different extraction patterns, is a small instance of the paper's own argument that preprocessing does not transport without local inspection.</w:t>
      </w:r>
    </w:p>
    <w:p>
      <w:pPr>
        <w:spacing w:after="90" w:before="240"/>
      </w:pPr>
      <w:r>
        <w:rPr>
          <w:rFonts w:ascii="Calibri" w:cs="Calibri" w:eastAsia="Calibri" w:hAnsi="Calibri"/>
          <w:b/>
          <w:bCs/>
          <w:sz w:val="21"/>
          <w:szCs w:val="21"/>
        </w:rPr>
        <w:t xml:space="preserve">Why a section extract is the primary analysis</w:t>
      </w:r>
    </w:p>
    <w:p>
      <w:pPr>
        <w:spacing w:after="130" w:line="276"/>
      </w:pPr>
      <w:r>
        <w:rPr>
          <w:rFonts w:ascii="Calibri" w:cs="Calibri" w:eastAsia="Calibri" w:hAnsi="Calibri"/>
          <w:sz w:val="20"/>
          <w:szCs w:val="20"/>
        </w:rPr>
        <w:t xml:space="preserve">The panel's maximum sequence length is not uniform, and the non-uniformity aligns with nominal tier: all six nominal harm-tier configurations are BERT-scale at 512 tokens, while all four decoder configurations, all in the nominal benefit tier, accept 2,048 or 4,096. Encoding whole notes at native limits would give one group entire documents and the other a fifth of each, advantaging the benefit tier for reasons unrelated to whitening. The section extract is encoded whole by every configuration, so that asymmetry is absent. The whole-note sensitivity analysis caps all configurations at 512 tokens, which removes the asymmetry differently and is reported as full512.</w:t>
      </w:r>
    </w:p>
    <w:p>
      <w:pPr>
        <w:spacing w:after="130" w:line="276"/>
      </w:pPr>
      <w:r>
        <w:rPr>
          <w:rFonts w:ascii="Calibri" w:cs="Calibri" w:eastAsia="Calibri" w:hAnsi="Calibri"/>
          <w:sz w:val="20"/>
          <w:szCs w:val="20"/>
        </w:rPr>
        <w:t xml:space="preserve">Native-limit encoding was not run: it confounds context window with subgroup, and its result would not be interpretable.</w:t>
      </w:r>
    </w:p>
    <w:p>
      <w:pPr>
        <w:spacing w:after="100" w:before="240"/>
      </w:pPr>
      <w:r>
        <w:rPr>
          <w:rFonts w:ascii="Calibri" w:cs="Calibri" w:eastAsia="Calibri" w:hAnsi="Calibri"/>
          <w:b/>
          <w:bCs/>
          <w:sz w:val="20"/>
          <w:szCs w:val="20"/>
        </w:rPr>
        <w:t xml:space="preserve">Table S1. Cell-level transport matrix</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884"/>
        <w:gridCol w:w="943"/>
        <w:gridCol w:w="708"/>
        <w:gridCol w:w="1297"/>
        <w:gridCol w:w="708"/>
        <w:gridCol w:w="590"/>
        <w:gridCol w:w="884"/>
        <w:gridCol w:w="943"/>
        <w:gridCol w:w="413"/>
        <w:gridCol w:w="943"/>
        <w:gridCol w:w="1415"/>
        <w:gridCol w:w="2123"/>
        <w:gridCol w:w="767"/>
        <w:gridCol w:w="1062"/>
      </w:tblGrid>
      <w:tr>
        <w:trPr>
          <w:cantSplit/>
          <w:tblHeader/>
        </w:trPr>
        <w:tc>
          <w:tcPr>
            <w:tcW w:type="dxa" w:w="884"/>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Corpus</w:t>
            </w:r>
          </w:p>
        </w:tc>
        <w:tc>
          <w:tcPr>
            <w:tcW w:type="dxa" w:w="943"/>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Document variant</w:t>
            </w:r>
          </w:p>
        </w:tc>
        <w:tc>
          <w:tcPr>
            <w:tcW w:type="dxa" w:w="708"/>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Query format</w:t>
            </w:r>
          </w:p>
        </w:tc>
        <w:tc>
          <w:tcPr>
            <w:tcW w:type="dxa" w:w="1297"/>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Configuration</w:t>
            </w:r>
          </w:p>
        </w:tc>
        <w:tc>
          <w:tcPr>
            <w:tcW w:type="dxa" w:w="708"/>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Nominal tier</w:t>
            </w:r>
          </w:p>
        </w:tc>
        <w:tc>
          <w:tcPr>
            <w:tcW w:type="dxa" w:w="590"/>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Max tokens</w:t>
            </w:r>
          </w:p>
        </w:tc>
        <w:tc>
          <w:tcPr>
            <w:tcW w:type="dxa" w:w="884"/>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Baseline MRR@10</w:t>
            </w:r>
          </w:p>
        </w:tc>
        <w:tc>
          <w:tcPr>
            <w:tcW w:type="dxa" w:w="943"/>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Corrected MRR@10</w:t>
            </w:r>
          </w:p>
        </w:tc>
        <w:tc>
          <w:tcPr>
            <w:tcW w:type="dxa" w:w="413"/>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dMRR@10</w:t>
            </w:r>
          </w:p>
        </w:tc>
        <w:tc>
          <w:tcPr>
            <w:tcW w:type="dxa" w:w="943"/>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nominal subgroup</w:t>
            </w:r>
          </w:p>
        </w:tc>
        <w:tc>
          <w:tcPr>
            <w:tcW w:type="dxa" w:w="1415"/>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benchmark response group</w:t>
            </w:r>
          </w:p>
        </w:tc>
        <w:tc>
          <w:tcPr>
            <w:tcW w:type="dxa" w:w="2123"/>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agrees with benchmark response group</w:t>
            </w:r>
          </w:p>
        </w:tc>
        <w:tc>
          <w:tcPr>
            <w:tcW w:type="dxa" w:w="767"/>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measured sign</w:t>
            </w:r>
          </w:p>
        </w:tc>
        <w:tc>
          <w:tcPr>
            <w:tcW w:type="dxa" w:w="1062"/>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retains assignment</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0.8004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0.7364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-0.064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BioLORD-2023</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0.6796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0.5312</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-0.1484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GTE-base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0.8058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0.7397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-0.0661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MedCPT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0.775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0.5892</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-0.1858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0.7837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0.7232</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-0.0605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Nomic-embed-text-nopfx</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0.7853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0.686</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-0.0993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BERT-base-uncased</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0.0765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0.1682</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0.0916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0.1499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0.2763</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0.1264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0.1815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0.3329</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0.1514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ClinicalBERT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0.1673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0.2476</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0.0803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0.5783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0.4387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-0.1396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E5-Mistral-7B-ablation</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0.5243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0.6355</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0.1112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Phi-3-mini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0.3068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0.5893</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0.2824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0.8497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0.7956</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-0.0541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BioLORD-2023</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0.7901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0.6104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-0.1796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GTE-base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0.8595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0.7893</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-0.0702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MedCPT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0.7652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0.5594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-0.2058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0.8808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0.7557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-0.1252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Nomic-embed-text-nopfx</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0.8584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0.7162</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-0.1422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BERT-base-uncased</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0.0656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0.1509</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0.0854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0.0522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0.227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0.1748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0.1288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0.3329</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0.2041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ClinicalBERT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0.1862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0.2486</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0.0624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0.5641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0.4659</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-0.0982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E5-Mistral-7B-ablation</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0.4545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0.7133</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0.2589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Phi-3-mini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0.2549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0.6099</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0.355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0.7928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0.6622</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-0.1306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BioLORD-2023</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0.6183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0.4431</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-0.1752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GTE-base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0.826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0.7332</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-0.0929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MedCPT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0.7758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0.6014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-0.1744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0.7446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0.7072</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-0.0375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Nomic-embed-text-nopfx</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0.7355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0.637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-0.0985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BERT-base-uncased</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0.1182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0.2007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0.0826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0.1732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0.2559</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0.0827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0.2684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0.2985</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0.0302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ClinicalBERT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0.2714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0.3629</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0.0915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0.5371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0.4305</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-0.1065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E5-Mistral-7B-ablation</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0.4671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0.512</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0.0449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Phi-3-mini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0.3155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0.4927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0.1773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0.8715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0.6736</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-0.1979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BioLORD-2023</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0.7321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0.4644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-0.2677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GTE-base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0.8737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0.7479</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-0.1258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MedCPT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0.6996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0.4858</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-0.2138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0.7972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0.6773</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-0.1199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Nomic-embed-text-nopfx</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0.7952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0.5895</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-0.2057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BERT-base-uncased</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0.1384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0.0464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0.0938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0.1714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0.0777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0.1289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0.208</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0.079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ClinicalBERT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0.1637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0.2561</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0.0924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0.4947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0.3516</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-0.1431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E5-Mistral-7B-ablation</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0.4637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0.443</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-0.0207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full512</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Phi-3-mini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0.2797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0.3816</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0.7422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0.6469</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-0.0954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BioLORD-2023</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0.5553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0.4237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-0.1315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GTE-base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0.7573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0.671</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-0.0863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MedCPT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0.6883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0.4721</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-0.2162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0.7361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0.6403</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-0.0958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Nomic-embed-text-nopfx</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0.6726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0.5637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-0.1089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BERT-base-uncased</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0.119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0.2204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0.1014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0.1716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0.3522</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0.1806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2048</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0.1477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0.259</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0.1113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ClinicalBERT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0.1787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0.3282</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0.1495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4096</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0.0996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0.1874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0.0877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E5-Mistral-7B-ablation</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4096</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0.3821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0.5567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0.1746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Phi-3-mini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4096</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0.2098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0.4714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0.2617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0.8174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0.6765</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BioLORD-2023</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0.6635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0.4564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-0.2071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GTE-base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0.8109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0.7183</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-0.0925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MedCPT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0.5796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0.4244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-0.1552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0.8062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0.7277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-0.0785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Nomic-embed-text-nopfx</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0.7193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0.4922</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-0.227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BERT-base-uncased</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0.066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0.1526</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0.0866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0.0799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0.2507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0.1708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2048</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0.1487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0.3628</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0.2141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ClinicalBERT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0.1752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0.2621</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0.0869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4096</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0.1009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0.1512</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0.0504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E5-Mistral-7B-ablation</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4096</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0.4497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0.6227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er_reason</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Phi-3-mini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4096</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0.2976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0.5293</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0.2317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0.7973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0.7669</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-0.0303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BioLORD-2023</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0.6002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0.5435</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-0.0568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GTE-base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0.825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0.7716</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-0.0534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MedCPT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0.6744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0.6179</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-0.0565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0.764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0.6787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-0.0854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Nomic-embed-text-nopfx</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0.742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0.6913</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-0.0507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BERT-base-uncased</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0.1066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0.0934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0.1599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0.3405</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0.1807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2048</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0.1938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0.3723</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0.1785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ClinicalBERT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0.1853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0.2997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0.1145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4096</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0.0503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0.1819</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0.1316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E5-Mistral-7B-ablation</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4096</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0.3764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0.5461</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0.1697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keyword</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Phi-3-mini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4096</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0.2706</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0.474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0.2034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0.8161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0.7555</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-0.0607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BioLORD-2023</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0.6458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0.5587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-0.0871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GTE-base</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0.859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0.7881</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-0.0709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MedCPT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0.4938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0.4245</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-0.0693</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0.7764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0.6945</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-0.0819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Nomic-embed-text-nopfx</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1</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0.7281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0.6436</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-0.0845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negative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BERT-base-uncased</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0.144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0.024</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0.1257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0.2585</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0.1328</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2048</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0.2497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0.3804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0.1307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ClinicalBERT</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512</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0.1609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0.2486</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0.0877</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4096</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0.0932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0.1264</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0.0332</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E5-Mistral-7B-ablation</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4096</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0.4095</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0.6837</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0.2741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harmed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r>
        <w:trPr>
          <w:cantSplit/>
          <w:tblHeader w:val="false"/>
        </w:trPr>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mimic_discharge</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hpi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nl</w:t>
            </w:r>
          </w:p>
        </w:tc>
        <w:tc>
          <w:tcPr>
            <w:tcW w:type="dxa" w:w="129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Phi-3-mini</w:t>
            </w:r>
          </w:p>
        </w:tc>
        <w:tc>
          <w:tcPr>
            <w:tcW w:type="dxa" w:w="708"/>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2</w:t>
            </w:r>
          </w:p>
        </w:tc>
        <w:tc>
          <w:tcPr>
            <w:tcW w:type="dxa" w:w="59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4096</w:t>
            </w:r>
          </w:p>
        </w:tc>
        <w:tc>
          <w:tcPr>
            <w:tcW w:type="dxa" w:w="88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0.3071</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0.446</w:t>
            </w:r>
          </w:p>
        </w:tc>
        <w:tc>
          <w:tcPr>
            <w:tcW w:type="dxa" w:w="41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0.1389</w:t>
            </w:r>
          </w:p>
        </w:tc>
        <w:tc>
          <w:tcPr>
            <w:tcW w:type="dxa" w:w="94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141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benefited</w:t>
            </w:r>
          </w:p>
        </w:tc>
        <w:tc>
          <w:tcPr>
            <w:tcW w:type="dxa" w:w="212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76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positive</w:t>
            </w:r>
          </w:p>
        </w:tc>
        <w:tc>
          <w:tcPr>
            <w:tcW w:type="dxa" w:w="106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2026-08-18T07:32:18.804Z</dcterms:created>
  <dcterms:modified xsi:type="dcterms:W3CDTF">2026-08-18T07:32:18.804Z</dcterms:modified>
</cp:coreProperties>
</file>

<file path=docProps/custom.xml><?xml version="1.0" encoding="utf-8"?>
<Properties xmlns="http://schemas.openxmlformats.org/officeDocument/2006/custom-properties" xmlns:vt="http://schemas.openxmlformats.org/officeDocument/2006/docPropsVTypes"/>
</file>