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Economic and classification sensitivity analyses</w:t>
      </w:r>
    </w:p>
    <w:p>
      <w:pPr>
        <w:pStyle w:val="BodyText"/>
      </w:pPr>
      <w:r>
        <w:rPr>
          <w:iCs/>
          <w:i/>
        </w:rPr>
        <w:t xml:space="preserve">One-way and probabilistic sensitivity on the parameters that set the absolute monetary scale; the time-horizon, discount-rate and exchange-rate analyses; the published European adverse-event cost scenarios; and the classification-boundary sweep. Every table is reproduced by paper9_sensitivity.py and paper9_boundary_sweep.py from the archived code.</w:t>
      </w:r>
    </w:p>
    <w:p>
      <w:pPr>
        <w:pStyle w:val="BodyText"/>
      </w:pPr>
      <w:r>
        <w:rPr>
          <w:bCs/>
          <w:b/>
        </w:rPr>
        <w:t xml:space="preserve">Table S6. One-way sensitivity on the illustrative parameters</w:t>
      </w:r>
    </w:p>
    <w:p>
      <w:pPr>
        <w:pStyle w:val="BodyText"/>
      </w:pPr>
      <w:r>
        <w:rPr>
          <w:iCs/>
          <w:i/>
        </w:rPr>
        <w:t xml:space="preserve">Each parameter varied across the 2.5th to 97.5th percentile of its stated distribution, others held at base case.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2.5th percentile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97.5th percentile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 at low (EUR)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 at high (EUR)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p* at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p* at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199,548,576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488,536,246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201,482,202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472,133,185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132,711,210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637,269,967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0.502797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S7. Probabilistic sensitivity analysis, 50,000 draws</w:t>
      </w:r>
    </w:p>
    <w:p>
      <w:pPr>
        <w:pStyle w:val="BodyText"/>
      </w:pPr>
      <w:r>
        <w:rPr>
          <w:iCs/>
          <w:i/>
        </w:rPr>
        <w:t xml:space="preserve">Illustrative parameters, adverse-event cost, utility loss and both strategy-cost terms drawn jointly. The adverse-event cost is Gamma(2.5, C_event/2.5), the scale derived from the declared mean.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2.5th percentile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97.5th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(EUR)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344,301,016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38,267,786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261,867,680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1,131,790,498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(EUR)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7.16e-07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4.29e-05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0.503063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S8. Time horizon and discount rate</w:t>
      </w:r>
    </w:p>
    <w:p>
      <w:pPr>
        <w:pStyle w:val="BodyText"/>
      </w:pPr>
      <w:r>
        <w:rPr>
          <w:iCs/>
          <w:i/>
        </w:rPr>
        <w:t xml:space="preserve">The discount factor enters the value exposed and the deployment cost together and largely cancels.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 (years)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 (EUR)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(EUR)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77,281,037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154,562,074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231,843,111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386,405,185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772,810,369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75,030,133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147,874,922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218,598,019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353,924,520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659,222,920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74,308,689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145,759,352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214,461,913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344,041,446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626,818,436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0.502803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S9. Exchange rate</w:t>
      </w:r>
    </w:p>
    <w:p>
      <w:pPr>
        <w:pStyle w:val="BodyText"/>
      </w:pPr>
      <w:r>
        <w:rPr>
          <w:iCs/>
          <w:i/>
        </w:rPr>
        <w:t xml:space="preserve">Completed Norges Bank annual averages. An incomplete year has no annual average and is not reported as one.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(NOK/EUR)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C_event (EUR)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lambda (EUR/QALY)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 annual average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11,493.5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23,650.6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 annual average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23,466.6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0.502810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S10. Adverse-event treatment cost against the published European estimates</w:t>
      </w:r>
    </w:p>
    <w:p>
      <w:pPr>
        <w:pStyle w:val="BodyText"/>
      </w:pPr>
      <w:r>
        <w:rPr>
          <w:iCs/>
          <w:i/>
        </w:rPr>
        <w:t xml:space="preserve">Base variant shown; alternative utility loss and severity-weighted willingness to pay are in the archived output.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C_event (EUR)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 (EUR)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Norwegian (SAMDATA 2024, NB 2024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344,041,446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Durand 2024 (review, per hospitalisation)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180,107,386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Durand 2024 (review, per hospitalisation)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239,790,297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Durand 2024 (review, per hospitalisation)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299,473,208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Laroche 2025 (IATROSTAT-ECO, 2023 tariffs)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19,500,673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Laroche 2025 (IATROSTAT-ECO, 2023 tariffs)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179,331,508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Laroche 2025 (IATROSTAT-ECO, 2023 tariffs)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818,117,704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0.502794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Laroche 2025 (IATROSTAT-ECO, 2018 tariffs)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16,397,162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Laroche 2025 (IATROSTAT-ECO, 2018 tariffs)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156,472,954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Laroche 2025 (IATROSTAT-ECO, 2018 tariffs)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698,005,846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0.502796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S11. Classification-boundary sweep</w:t>
      </w:r>
    </w:p>
    <w:p>
      <w:pPr>
        <w:pStyle w:val="BodyText"/>
      </w:pPr>
      <w:r>
        <w:rPr>
          <w:iCs/>
          <w:i/>
        </w:rPr>
        <w:t xml:space="preserve">A configuration is assigned to the harmed group where its mean effect is below tau; tau = 0 is the rule used. Rows at 0.01 intervals, with the intermediate state at tau = +0.0375 so all four thresholds reported in Results appear.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 tau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benefited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d_ben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d_harm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 at 6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 at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-0.0500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-0.0400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-0.0300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-0.0200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+0.0375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2026-09-19T18:38:49Z</dcterms:created>
  <dcterms:modified xsi:type="dcterms:W3CDTF">2026-09-19T18:38:49Z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