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6"/>
          <w:szCs w:val="26"/>
        </w:rPr>
        <w:t xml:space="preserve">Decision-model parameters, regularisation sweep, and per-condition effects</w:t>
      </w:r>
    </w:p>
    <w:p>
      <w:pPr>
        <w:spacing w:after="200"/>
      </w:pPr>
      <w:r>
        <w:rPr>
          <w:rFonts w:ascii="Calibri" w:cs="Calibri" w:eastAsia="Calibri" w:hAnsi="Calibri"/>
          <w:i/>
          <w:iCs/>
          <w:sz w:val="20"/>
          <w:szCs w:val="20"/>
        </w:rPr>
        <w:t xml:space="preserve">Every parameter with its value, distribution or range, source, and whether it is empirical, scenario-based, or illustrative; the regularisation sweep with response-defined grouping at each value; and the per-condition effect estimates from which the group means are computed.</w:t>
      </w:r>
    </w:p>
    <w:p>
      <w:pPr>
        <w:spacing w:after="100" w:before="240"/>
      </w:pPr>
      <w:r>
        <w:rPr>
          <w:rFonts w:ascii="Calibri" w:cs="Calibri" w:eastAsia="Calibri" w:hAnsi="Calibri"/>
          <w:b/>
          <w:bCs/>
          <w:sz w:val="20"/>
          <w:szCs w:val="20"/>
        </w:rPr>
        <w:t xml:space="preserve">Table S1. Model parameters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68"/>
        <w:gridCol w:w="2689"/>
        <w:gridCol w:w="935"/>
        <w:gridCol w:w="2689"/>
        <w:gridCol w:w="585"/>
        <w:gridCol w:w="2689"/>
        <w:gridCol w:w="2689"/>
        <w:gridCol w:w="936"/>
      </w:tblGrid>
      <w:tr>
        <w:trPr>
          <w:cantSplit/>
          <w:tblHeader/>
        </w:trPr>
        <w:tc>
          <w:tcPr>
            <w:tcW w:type="dxa" w:w="468"/>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Symbol</w:t>
            </w:r>
          </w:p>
        </w:tc>
        <w:tc>
          <w:tcPr>
            <w:tcW w:type="dxa" w:w="2689"/>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Definition</w:t>
            </w:r>
          </w:p>
        </w:tc>
        <w:tc>
          <w:tcPr>
            <w:tcW w:type="dxa" w:w="935"/>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Base value</w:t>
            </w:r>
          </w:p>
        </w:tc>
        <w:tc>
          <w:tcPr>
            <w:tcW w:type="dxa" w:w="2689"/>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Distribution or range</w:t>
            </w:r>
          </w:p>
        </w:tc>
        <w:tc>
          <w:tcPr>
            <w:tcW w:type="dxa" w:w="585"/>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Units</w:t>
            </w:r>
          </w:p>
        </w:tc>
        <w:tc>
          <w:tcPr>
            <w:tcW w:type="dxa" w:w="2689"/>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Source</w:t>
            </w:r>
          </w:p>
        </w:tc>
        <w:tc>
          <w:tcPr>
            <w:tcW w:type="dxa" w:w="2689"/>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Status</w:t>
            </w:r>
          </w:p>
        </w:tc>
        <w:tc>
          <w:tcPr>
            <w:tcW w:type="dxa" w:w="936"/>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Enters</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d_ben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Mean dMRR@10, response-defined benefited group (6 configurations)</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+0.075745</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 0.0259 across configurations</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unitless</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Companion study, full-corpus protocol at eps=1e-5; grouped by measured sign, not nominal tier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technical effect</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d_harm</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Mean dMRR@10, response-defined harmed group (7 configurations)</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-0.0766</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 0.0131 across configurations</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unitless</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Companion study, full-corpus protocol at eps=1e-5; grouped by measured sign, not nominal tier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technical effect</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Universal-deployment threshold</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0.32-0.70 across the regularisation sweep (structural, not a sampling interval)</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proportion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Derived from d_ben, d_harm, K/M</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derived</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threshold</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M_ben / M_harm, relative downstream translation</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 to 4 in structural sensitivity</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ratio</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 published source; r=1 is an assumption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ILLUSTRATIVE</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structural</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Response-defined benefited-state prevalence</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estimated</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 with no classification assumption</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proportion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55-system extraction frame; Appendix 1</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unidentified without classification assumptions</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technical effect</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Screen sensitivity</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derived</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by scored-condition breadth; separately by document-resampling design</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proportion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Between-condition variability; resampling, Appendix 3</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technical effect</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sp</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Screen specificity</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derived</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by scored-condition breadth; separately by document-resampling design</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proportion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Between-condition variability; resampling, Appendix 3</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technical effect</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alpha</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Technical metric to decision accuracy</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TruncN(0.70, 0.15)</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unitless</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 published source</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ILLUSTRATIVE</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M</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adoption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Retrieval output adopted into decision</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Beta(9, 6)</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proportion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 published source</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ILLUSTRATIVE</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M</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p_event</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Adverse event | adopted erroneous retrieval</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Beta(6, 44)</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proportion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 published source</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ILLUSTRATIVE</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M</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C_event</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Treatment cost per adverse event</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EUR 11,494</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Gamma(2.5, 4597)</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EUR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SAMDATA 2024 bed-day NOK 26,153 x 5.11 excess days (Hoogervorst-Schilp 2015) = NOK 133,642, converted at FX = 11.6276 NOK/EUR, the Norges Bank annual average for 2024 (accessed September 19, 2026). Exceeds the European estimates of Durand 2024 (EUR 6,000-10,000 per hospitalisation) and Laroche 2025 (EUR 5,974 mean, EUR 618-27,380, 2023 tariffs); both are carried in the cost sensitivity analysis (Multimedia Appendix 9), across which the threshold is unchanged at 0.50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M via V</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Q_event</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Utility loss per adverse event</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0.0015 QALY</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Gamma(1.5, 0.001); 0.028 alternative</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QALY</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Disutility 0.09-0.145 applied over the 5.11-day excess stay; Kirwan 2023 alternative</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scenario</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M via V</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lambda</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Willingness to pay</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NOK 275,000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to NOK 825,000 severity-weighted</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NOK/QALY</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Meld. St. 34 (2015-2016). Applied at nominal policy value without indexation; the Norwegian Directorate for Medical Products reviewed the thresholds in 2026 and recommended no interim adjustment</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M via V</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Annual retrievals</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133,000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fixed</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count</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approximately 1/20 of 2,656,857 Norwegian somatic specialist patients (2024, Statistics Norway)</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M</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Discount factor, 5 years at 4%</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4.4518</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fixed</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unitless</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Standard</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M</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K_impl</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Implementation cost</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EUR 800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Gamma(2, 400)</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EUR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Scenario</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scenario</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K</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K_annual</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Annual maintenance</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EUR 150</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Gamma(1.5, 100)</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EUR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Scenario</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scenario</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K</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K_screen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Screening cost per condition</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EUR 400 x n_cond</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Gamma(2, 200 x n_cond)</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EUR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Scenario</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scenario</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enters K</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FX</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Exchange rate</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11.6276</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fixed</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NOK/EUR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Norges Bank annual average for 2024, the price year of the SAMDATA bed-day estimate; accessed September 19, 2026</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enters M via V</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S</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Fixed screening cost</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EUR 400 x n_cond</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K_screen</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EUR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Incurred whichever way the screen reads; EUR 1,600 at n_cond = 4</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scenario</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enters the screening threshold as s = S/M</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T</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Deployment cost</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EUR 1,468</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K_impl + K_annual x D</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EUR</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Incurred only on the systems the screen selects, at a rate that depends on the site prior probability of benefit. S and T are carried separately rather than combined into a single screen-and-treat cost, because combining them would require assuming a value for p</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scenario</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enters the screening threshold as t = T/M</w:t>
            </w:r>
          </w:p>
        </w:tc>
      </w:tr>
      <w:tr>
        <w:trPr>
          <w:cantSplit/>
          <w:tblHeader w:val="false"/>
        </w:trPr>
        <w:tc>
          <w:tcPr>
            <w:tcW w:type="dxa" w:w="4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epsilon</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ZCA regularisation</w:t>
            </w:r>
          </w:p>
        </w:tc>
        <w:tc>
          <w:tcPr>
            <w:tcW w:type="dxa" w:w="9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1e-5</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1e-7 to 1e-2 swept</w:t>
            </w:r>
          </w:p>
        </w:tc>
        <w:tc>
          <w:tcPr>
            <w:tcW w:type="dxa" w:w="58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unitless</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Companion study default</w:t>
            </w:r>
          </w:p>
        </w:tc>
        <w:tc>
          <w:tcPr>
            <w:tcW w:type="dxa" w:w="2689"/>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empirical</w:t>
            </w:r>
          </w:p>
        </w:tc>
        <w:tc>
          <w:tcPr>
            <w:tcW w:type="dxa" w:w="9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technical effect</w:t>
            </w:r>
          </w:p>
        </w:tc>
      </w:tr>
    </w:tbl>
    <w:p>
      <w:pPr>
        <w:spacing w:after="100" w:before="240"/>
      </w:pPr>
      <w:r>
        <w:rPr>
          <w:rFonts w:ascii="Calibri" w:cs="Calibri" w:eastAsia="Calibri" w:hAnsi="Calibri"/>
          <w:b/>
          <w:bCs/>
          <w:sz w:val="20"/>
          <w:szCs w:val="20"/>
        </w:rPr>
        <w:t xml:space="preserve">Table S2. Regularisation sweep under response-defined grouping</w:t>
      </w:r>
    </w:p>
    <w:p>
      <w:pPr>
        <w:spacing w:after="200"/>
      </w:pPr>
      <w:r>
        <w:rPr>
          <w:rFonts w:ascii="Calibri" w:cs="Calibri" w:eastAsia="Calibri" w:hAnsi="Calibri"/>
          <w:i/>
          <w:iCs/>
          <w:sz w:val="20"/>
          <w:szCs w:val="20"/>
        </w:rPr>
        <w:t xml:space="preserve">Group membership is determined at each value by the sign of the measured mean effect, so group sizes change across the sweep. This is the structural sensitivity reported in place of a sampling interval on the threshold.</w:t>
      </w:r>
    </w:p>
    <w:tbl>
      <w:tblPr>
        <w:tblW w:type="dxa" w:w="10944"/>
        <w:tblBorders>
          <w:top w:val="single" w:color="BFBFBF" w:sz="4"/>
          <w:left w:val="single" w:color="BFBFBF" w:sz="4"/>
          <w:bottom w:val="single" w:color="BFBFBF" w:sz="4"/>
          <w:right w:val="single" w:color="BFBFBF" w:sz="4"/>
          <w:insideH w:val="single" w:color="BFBFBF" w:sz="4"/>
          <w:insideV w:val="single" w:color="BFBFBF" w:sz="4"/>
        </w:tblBorders>
      </w:tblPr>
      <w:tblGrid>
        <w:gridCol w:w="1563"/>
        <w:gridCol w:w="2457"/>
        <w:gridCol w:w="1787"/>
        <w:gridCol w:w="1787"/>
        <w:gridCol w:w="2010"/>
        <w:gridCol w:w="1340"/>
      </w:tblGrid>
      <w:tr>
        <w:trPr>
          <w:cantSplit/>
          <w:tblHeader/>
        </w:trPr>
        <w:tc>
          <w:tcPr>
            <w:tcW w:type="dxa" w:w="156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epsilon</w:t>
            </w:r>
          </w:p>
        </w:tc>
        <w:tc>
          <w:tcPr>
            <w:tcW w:type="dxa" w:w="245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n_benefited</w:t>
            </w:r>
          </w:p>
        </w:tc>
        <w:tc>
          <w:tcPr>
            <w:tcW w:type="dxa" w:w="178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n_harmed</w:t>
            </w:r>
          </w:p>
        </w:tc>
        <w:tc>
          <w:tcPr>
            <w:tcW w:type="dxa" w:w="178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d_ben</w:t>
            </w:r>
          </w:p>
        </w:tc>
        <w:tc>
          <w:tcPr>
            <w:tcW w:type="dxa" w:w="201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d_harm</w:t>
            </w:r>
          </w:p>
        </w:tc>
        <w:tc>
          <w:tcPr>
            <w:tcW w:type="dxa" w:w="134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p_star</w:t>
            </w:r>
          </w:p>
        </w:tc>
      </w:tr>
      <w:tr>
        <w:trPr>
          <w:cantSplit/>
          <w:tblHeader w:val="false"/>
        </w:trPr>
        <w:tc>
          <w:tcPr>
            <w:tcW w:type="dxa" w:w="15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1e-07</w:t>
            </w:r>
          </w:p>
        </w:tc>
        <w:tc>
          <w:tcPr>
            <w:tcW w:type="dxa" w:w="245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4</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9</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0.04475</w:t>
            </w:r>
          </w:p>
        </w:tc>
        <w:tc>
          <w:tcPr>
            <w:tcW w:type="dxa" w:w="20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-0.1041</w:t>
            </w:r>
          </w:p>
        </w:tc>
        <w:tc>
          <w:tcPr>
            <w:tcW w:type="dxa" w:w="134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0.6993</w:t>
            </w:r>
          </w:p>
        </w:tc>
      </w:tr>
      <w:tr>
        <w:trPr>
          <w:cantSplit/>
          <w:tblHeader w:val="false"/>
        </w:trPr>
        <w:tc>
          <w:tcPr>
            <w:tcW w:type="dxa" w:w="15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1e-06</w:t>
            </w:r>
          </w:p>
        </w:tc>
        <w:tc>
          <w:tcPr>
            <w:tcW w:type="dxa" w:w="245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7</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0.0585</w:t>
            </w:r>
          </w:p>
        </w:tc>
        <w:tc>
          <w:tcPr>
            <w:tcW w:type="dxa" w:w="20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-0.0831</w:t>
            </w:r>
          </w:p>
        </w:tc>
        <w:tc>
          <w:tcPr>
            <w:tcW w:type="dxa" w:w="134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0.587</w:t>
            </w:r>
          </w:p>
        </w:tc>
      </w:tr>
      <w:tr>
        <w:trPr>
          <w:cantSplit/>
          <w:tblHeader w:val="false"/>
        </w:trPr>
        <w:tc>
          <w:tcPr>
            <w:tcW w:type="dxa" w:w="15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1e-05</w:t>
            </w:r>
          </w:p>
        </w:tc>
        <w:tc>
          <w:tcPr>
            <w:tcW w:type="dxa" w:w="245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7</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0.0757</w:t>
            </w:r>
          </w:p>
        </w:tc>
        <w:tc>
          <w:tcPr>
            <w:tcW w:type="dxa" w:w="20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-0.0766</w:t>
            </w:r>
          </w:p>
        </w:tc>
        <w:tc>
          <w:tcPr>
            <w:tcW w:type="dxa" w:w="134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0.5028</w:t>
            </w:r>
          </w:p>
        </w:tc>
      </w:tr>
      <w:tr>
        <w:trPr>
          <w:cantSplit/>
          <w:tblHeader w:val="false"/>
        </w:trPr>
        <w:tc>
          <w:tcPr>
            <w:tcW w:type="dxa" w:w="15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1e-04</w:t>
            </w:r>
          </w:p>
        </w:tc>
        <w:tc>
          <w:tcPr>
            <w:tcW w:type="dxa" w:w="245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7</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0.0990</w:t>
            </w:r>
          </w:p>
        </w:tc>
        <w:tc>
          <w:tcPr>
            <w:tcW w:type="dxa" w:w="20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-0.0639</w:t>
            </w:r>
          </w:p>
        </w:tc>
        <w:tc>
          <w:tcPr>
            <w:tcW w:type="dxa" w:w="134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0.3925</w:t>
            </w:r>
          </w:p>
        </w:tc>
      </w:tr>
      <w:tr>
        <w:trPr>
          <w:cantSplit/>
          <w:tblHeader w:val="false"/>
        </w:trPr>
        <w:tc>
          <w:tcPr>
            <w:tcW w:type="dxa" w:w="15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1e-03</w:t>
            </w:r>
          </w:p>
        </w:tc>
        <w:tc>
          <w:tcPr>
            <w:tcW w:type="dxa" w:w="245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7</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0.0735</w:t>
            </w:r>
          </w:p>
        </w:tc>
        <w:tc>
          <w:tcPr>
            <w:tcW w:type="dxa" w:w="20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-0.0340</w:t>
            </w:r>
          </w:p>
        </w:tc>
        <w:tc>
          <w:tcPr>
            <w:tcW w:type="dxa" w:w="134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0.3163</w:t>
            </w:r>
          </w:p>
        </w:tc>
      </w:tr>
      <w:tr>
        <w:trPr>
          <w:cantSplit/>
          <w:tblHeader w:val="false"/>
        </w:trPr>
        <w:tc>
          <w:tcPr>
            <w:tcW w:type="dxa" w:w="156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1e-02</w:t>
            </w:r>
          </w:p>
        </w:tc>
        <w:tc>
          <w:tcPr>
            <w:tcW w:type="dxa" w:w="245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5</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8</w:t>
            </w:r>
          </w:p>
        </w:tc>
        <w:tc>
          <w:tcPr>
            <w:tcW w:type="dxa" w:w="178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0.0188</w:t>
            </w:r>
          </w:p>
        </w:tc>
        <w:tc>
          <w:tcPr>
            <w:tcW w:type="dxa" w:w="20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-0.0141</w:t>
            </w:r>
          </w:p>
        </w:tc>
        <w:tc>
          <w:tcPr>
            <w:tcW w:type="dxa" w:w="134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0.4288</w:t>
            </w:r>
          </w:p>
        </w:tc>
      </w:tr>
    </w:tbl>
    <w:p>
      <w:pPr>
        <w:spacing w:after="100" w:before="240"/>
      </w:pPr>
      <w:r>
        <w:rPr>
          <w:rFonts w:ascii="Calibri" w:cs="Calibri" w:eastAsia="Calibri" w:hAnsi="Calibri"/>
          <w:b/>
          <w:bCs/>
          <w:sz w:val="20"/>
          <w:szCs w:val="20"/>
        </w:rPr>
        <w:t xml:space="preserve">Table S3. Per-condition effect estimates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15"/>
        <w:gridCol w:w="1263"/>
        <w:gridCol w:w="1684"/>
        <w:gridCol w:w="737"/>
        <w:gridCol w:w="1999"/>
        <w:gridCol w:w="2315"/>
        <w:gridCol w:w="2420"/>
        <w:gridCol w:w="947"/>
      </w:tblGrid>
      <w:tr>
        <w:trPr>
          <w:cantSplit/>
          <w:tblHeader/>
        </w:trPr>
        <w:tc>
          <w:tcPr>
            <w:tcW w:type="dxa" w:w="2315"/>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model</w:t>
            </w:r>
          </w:p>
        </w:tc>
        <w:tc>
          <w:tcPr>
            <w:tcW w:type="dxa" w:w="1263"/>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corpus</w:t>
            </w:r>
          </w:p>
        </w:tc>
        <w:tc>
          <w:tcPr>
            <w:tcW w:type="dxa" w:w="1684"/>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query_format</w:t>
            </w:r>
          </w:p>
        </w:tc>
        <w:tc>
          <w:tcPr>
            <w:tcW w:type="dxa" w:w="737"/>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epsilon</w:t>
            </w:r>
          </w:p>
        </w:tc>
        <w:tc>
          <w:tcPr>
            <w:tcW w:type="dxa" w:w="1999"/>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baseline_MRR@10</w:t>
            </w:r>
          </w:p>
        </w:tc>
        <w:tc>
          <w:tcPr>
            <w:tcW w:type="dxa" w:w="2315"/>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corpus_only_ZCA_MRR@10</w:t>
            </w:r>
          </w:p>
        </w:tc>
        <w:tc>
          <w:tcPr>
            <w:tcW w:type="dxa" w:w="2420"/>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dMRR@10</w:t>
            </w:r>
          </w:p>
        </w:tc>
        <w:tc>
          <w:tcPr>
            <w:tcW w:type="dxa" w:w="947"/>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Recall@10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0.4240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0.4978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0.0739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0.4240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0.4980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0.0740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0.4240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0.5279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0.1039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0.4240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0.1615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0.4240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0.5191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0.0952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0.4240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0.3529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-0.0710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0.5993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0.2554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0.5981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0.2542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0.6216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0.2777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0.6022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0.4600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0.1161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0.3080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-0.0359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0.4386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0.0169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0.4411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0.0194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0.4673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0.0456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0.5724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0.1507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0.5682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0.1465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0.4293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0.0076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0.4452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0.5838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0.1386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0.4452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0.5841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0.1389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0.4452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0.6074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0.1622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0.4452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0.6245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0.1794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0.4452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0.0949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0.4452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0.3928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-0.0524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0.4514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0.2416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-0.2098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0.4514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0.2429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-0.2085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0.4514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0.2712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-0.1803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0.4514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0.3804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-0.0711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0.4514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0.4313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-0.0201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0.4514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0.4449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-0.0065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0.2237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-0.0667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0.2271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-0.0633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-0.0303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0.3451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0.0547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0.3259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0.0355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0.3000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0.0096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0.2428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0.0586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0.2438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0.0596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0.2564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0.0721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0.3020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0.1177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0.2942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0.1100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0.1959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0.2734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0.4882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0.2148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0.2734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0.4868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0.2134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0.2734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0.5124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0.2390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0.2734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0.5498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0.2764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0.2734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0.4435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0.1701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0.2734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0.2588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-0.0146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0.1354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0.1623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0.0268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0.1354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0.1631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0.0277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0.1354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0.0305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0.1354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0.1908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0.0554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0.1354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0.0979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0.1354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0.1585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0.0231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0.2570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0.4085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0.1515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0.2570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0.4104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0.1534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0.2570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0.4228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0.2570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0.4698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0.2128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0.2570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0.4188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0.1618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0.2570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0.2784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0.0213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0.2107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-0.0485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0.2107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0.1623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-0.0484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0.2107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0.1697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-0.0411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0.2107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0.2218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0.0110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0.2107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0.2236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0.0129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0.2107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0.2049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-0.0058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0.3160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0.1719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-0.1441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0.3160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0.1714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-0.1446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0.3160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0.1673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-0.1487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0.3160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-0.1233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0.3160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0.2661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-0.0500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ClinicalBERT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0.3160</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0.2916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-0.0244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0.7789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-0.0367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0.7791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-0.0365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-0.0298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0.7780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-0.0376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0.8065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-0.0091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0.80875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-0.0068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0.8389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-0.0418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0.8391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0.8389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-0.0418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0.8411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-0.0397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0.8581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0.8761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-0.0047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0.8598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0.8598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0.8603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-0.0367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0.8631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0.8777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-0.0192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0.8903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-0.0066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0.9506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-0.0311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0.9531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-0.0286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0.9479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-0.0337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0.4470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-0.1192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0.4421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-0.1241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0.4532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-0.1129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0.4582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-0.1079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-0.0403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0.5790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0.0129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0.6482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0.4363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-0.2119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0.6482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-0.2124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0.6482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0.4365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0.6482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0.4513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-0.1969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0.6482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BioLORD-2023</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0.6482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0.6195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-0.0287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0.8758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0.8088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-0.0671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0.8758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0.8088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-0.0671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0.8758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0.8096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0.8758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0.8171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-0.0587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0.8758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0.8670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-0.0088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0.8758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0.8739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0.7449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0.7450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-0.0536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0.7500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-0.0486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0.7721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-0.0265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0.8119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0.0133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0.0388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-0.1113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-0.1113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0.8154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-0.1113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-0.1011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0.8979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-0.0288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0.9231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-0.0036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-0.0634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-0.0634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-0.0584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0.8734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-0.0105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0.8839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0.0088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0.7088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0.4532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-0.2555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0.7088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0.4557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-0.2530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0.7088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0.4536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-0.2552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0.7088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0.4922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-0.2166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0.7088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0.6070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-0.1018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0.7088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-0.0414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-0.2799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-0.2798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0.4326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-0.2678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0.4473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-0.2531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-0.1582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MedCPT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0.7004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0.6005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-0.0999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0.8918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-0.0324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0.8918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-0.0324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0.8918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-0.0324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0.8924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-0.0318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0.9107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-0.0135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0.9192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0.8879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-0.0312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0.9192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0.8924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-0.0267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0.9192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0.8879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-0.0312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0.9192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0.8943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-0.0248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0.9192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0.9066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-0.0126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0.9192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0.9360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0.0169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0.95625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0.9228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-0.0335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0.95625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0.9228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-0.0335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0.95625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0.9228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-0.0335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0.95625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0.9244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-0.0318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0.95625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0.9481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-0.0082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0.95625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-0.0250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-0.0250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-0.0250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-0.0247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-0.0133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0.9686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-0.1479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0.5821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-0.1479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0.6141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-0.1142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0.6810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-0.0474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0.7283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-0.0208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0.7355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0.5593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0.7355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0.5593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0.7355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0.5668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-0.1687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0.7355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0.6055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-0.1299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0.7355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0.6747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-0.0608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BGE-base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0.7355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0.7021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-0.0334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0.6782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-0.2486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0.8892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-0.0376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0.8893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-0.0374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0.8912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-0.0356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0.8979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-0.0289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0.9268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-0.0146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0.9345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0.7410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-0.1935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0.9345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0.8999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-0.0346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0.9345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-0.0344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0.9345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0.9056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-0.0289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0.9345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0.9194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-0.0151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0.9345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-0.0125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0.9506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-0.0311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0.9637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-0.0180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0.9817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0.9745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-0.0092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-0.0092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-0.0092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-0.0075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0.9833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0.7276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0.2048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-0.5228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0.7276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0.4919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-0.2357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0.7276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0.5869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-0.1407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0.7276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0.6034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-0.1242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0.7276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0.6687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-0.0589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0.7276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0.7106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-0.0170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0.7198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-0.4724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0.7198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0.4477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-0.2721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0.7198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-0.1523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0.7198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0.5966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-0.1232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0.7198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0.6526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GTE-base</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0.7198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0.6985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-0.0213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-0.0429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-0.0429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-0.0429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0.8802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-0.0401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0.8938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-0.0266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-0.0340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-0.0340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0.9037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-0.0330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0.9131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-0.0236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0.9303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-0.0063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0.92875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-0.0079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-0.0256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0.9206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0.9206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0.9221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-0.0257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0.9406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0.9525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0.0047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0.92875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-0.0421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0.9383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-0.0325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0.9708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0.9583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-0.0125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0.5560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-0.1440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0.5560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-0.1440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0.5572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0.5954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-0.1045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-0.0226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0.6826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-0.0173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0.6949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0.4716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-0.2233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0.6949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0.4716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-0.2233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0.6949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0.4768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-0.2180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0.6949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0.5099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-0.1850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0.6949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0.6182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-0.0767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0.6949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0.6845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-0.0103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0.3363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0.5812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0.4153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0.4596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0.6150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0.4492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0.5195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0.3536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0.0843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0.4126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0.4825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0.0699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0.4126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0.6745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0.2619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0.4126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0.6886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0.2760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0.4126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0.6898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0.4126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0.2675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0.4126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0.5362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0.1236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0.1503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0.1503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0.1519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0.6524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0.1421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0.6066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0.0963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0.4777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-0.0325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0.8031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0.8031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0.8031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0.7989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0.1785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0.7730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0.1525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0.6260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0.0055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0.0561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-0.0442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0.0765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0.1645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0.0642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0.1618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0.0615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0.1670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0.0667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0.1597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0.0594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0.0343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-0.0634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0.0959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0.1839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0.1807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0.0830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0.1744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0.0768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0.1572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0.0595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0.6437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0.0960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0.6480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0.6476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0.0999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0.6346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0.0869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0.6288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0.0811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0.5478</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0.5788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0.0310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0.5409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0.1313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0.5409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0.1246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0.5409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0.6836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0.5409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0.6779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0.1369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0.5409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0.5942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0.0533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0.5409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0.5189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-0.0220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0.6973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0.7023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0.1288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0.7008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0.1273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0.6773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0.0566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0.5939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0.6918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0.0346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0.6893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0.0321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0.6994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0.0423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0.6792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0.0220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0.0129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0.6664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0.0092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0.1069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-0.3165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0.2777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-0.1458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0.3066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-0.1169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0.3813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-0.0422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0.4171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-0.0064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0.4489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0.0254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0.1522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-0.2448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0.3243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0.3366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0.4070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0.0101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0.4707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Phi-3-mini</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0.3969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0.4237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0.0267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0.4584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-0.2882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0.7245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-0.0222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0.7220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-0.0247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0.7396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-0.0071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0.7694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0.7467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0.7472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0.5511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0.6162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0.0651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0.5511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0.2364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0.5511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0.7892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0.2381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0.5511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0.7893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0.2382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0.5511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0.75275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0.2016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0.5511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0.5818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0.0307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0.7424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0.7687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0.0263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0.7424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0.7702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0.0278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0.7424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0.7681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0.0256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0.7424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0.7799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0.0375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0.7424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0.7848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0.0423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0.7424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0.74775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0.0053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0.90875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0.1501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0.90875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0.1501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0.90875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0.1501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0.9049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0.1463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0.8849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0.7586</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0.8014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0.0428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0.1473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0.3723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-0.2854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0.3740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-0.2837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0.4099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-0.2478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0.5341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-0.1236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0.6577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0.6568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0.1298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-0.3934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0.3223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-0.2008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0.3236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-0.1995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0.3476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-0.1755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0.4636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-0.0596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E5-Mistral-7B-ablation</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0.5121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-0.0110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0.8801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-0.0260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0.8851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-0.0210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0.8851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-0.0210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0.8878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0.8928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-0.0133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0.9061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0.9014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-0.0047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0.9127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-0.0181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0.9273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-0.0058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0.9331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0.9316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0.9587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0.9587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0.9587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0.907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0.9587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0.9123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-0.0463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0.9587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0.9184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-0.0402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0.9587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0.9378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-0.0209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0.9625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-0.0225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0.9625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-0.0225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0.9635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-0.0215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0.96875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0.9775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-0.0075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0.985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0.9783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-0.0067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1.0</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0.5309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-0.1797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0.5309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-0.1797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0.5352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-0.1753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0.5656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-0.1449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0.6588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-0.0517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0.7105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0.7013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-0.0092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0.7079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0.5074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-0.2005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0.7079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0.5089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-0.1991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0.7079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0.5126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-0.1954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0.7079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0.5606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-0.1474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0.7079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0.6348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-0.0732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Nomic-embed-text-nopfx</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0.7079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0.6914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-0.0166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0.2381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0.3243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0.2381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0.3238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0.0857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0.2381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0.3411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0.1030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0.2381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0.3546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0.1166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0.2381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0.3141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0.0761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0.2381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0.1932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-0.0448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0.3687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0.1615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0.3704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0.1631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0.3782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0.1709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0.2817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0.0744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0.2072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0.1814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-0.0258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0.2657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0.2440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-0.0217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0.2657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0.2446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-0.0211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0.2657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0.2488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-0.0169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0.2657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0.2840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0.0183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0.2657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0.2811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0.0154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0.2657</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0.2505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-0.0152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0.4006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0.4015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0.4215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0.1580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0.3998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0.1364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0.3342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0.0708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0.2635</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0.2429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-0.0206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0.1549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-0.1441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0.1564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-0.1427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0.1730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-0.1261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0.2339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-0.0651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0.2679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-0.0312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0.2991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0.2855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-0.0136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0.1461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-0.0780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0.1464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-0.0778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0.1563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-0.0678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0.2063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-0.0179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0.2535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0.0293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BERT-base-uncased</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0.2242</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0.2240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0.4043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0.0609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0.5743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0.2310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0.5778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0.2345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0.5720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0.2287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0.5191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0.1758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0.3433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0.4072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0.0639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0.4813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0.4535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-0.0277</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0.4813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0.5635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0.0822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0.4813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0.5636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0.0824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0.4813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0.5813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0.1000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0.4813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0.6036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0.1224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MTSamples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0.4813</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0.4891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0.0079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0.5829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0.1638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0.5825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0.1634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0.5799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0.1608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0.5841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0.1650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0.5385</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0.1193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0.82</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0.4191</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0.4258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0.0066</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0.78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0.6962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0.6962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0.1462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0.6972</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0.1472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0.6967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0.1468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0.91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0.6450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0.0950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PMC-Patients</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0.5499</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0.5648</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0.0149</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0.88</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0.3694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0.0944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-0.2750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0.3694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0.1950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-0.1744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0.44</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0.3694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0.2077</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-0.1618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0.3694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0.2154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-0.1540</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0.47</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0.3694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0.2624</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-0.1071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keyword</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0.3694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0.3826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0.0132</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0.66</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1e-07</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0.3784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0.0780</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-0.3004</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1e-06</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0.3784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0.2616</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-0.1168</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0.41</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1e-05</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0.3784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0.2689</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-0.1095</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0.43</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0.3784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0.3053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-0.0731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0.49</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0.3784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0.3613</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-0.0171</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0.55</w:t>
            </w:r>
          </w:p>
        </w:tc>
      </w:tr>
      <w:tr>
        <w:trPr>
          <w:cantSplit/>
          <w:tblHeader w:val="false"/>
        </w:trPr>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BioMistral-7B</w:t>
            </w:r>
          </w:p>
        </w:tc>
        <w:tc>
          <w:tcPr>
            <w:tcW w:type="dxa" w:w="1263"/>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Synthetic</w:t>
            </w:r>
          </w:p>
        </w:tc>
        <w:tc>
          <w:tcPr>
            <w:tcW w:type="dxa" w:w="1684"/>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natural_language</w:t>
            </w:r>
          </w:p>
        </w:tc>
        <w:tc>
          <w:tcPr>
            <w:tcW w:type="dxa" w:w="73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w:t>
            </w:r>
          </w:p>
        </w:tc>
        <w:tc>
          <w:tcPr>
            <w:tcW w:type="dxa" w:w="1999"/>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0.3784</w:t>
            </w:r>
          </w:p>
        </w:tc>
        <w:tc>
          <w:tcPr>
            <w:tcW w:type="dxa" w:w="231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0.3661</w:t>
            </w:r>
          </w:p>
        </w:tc>
        <w:tc>
          <w:tcPr>
            <w:tcW w:type="dxa" w:w="2420"/>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-0.0123</w:t>
            </w:r>
          </w:p>
        </w:tc>
        <w:tc>
          <w:tcPr>
            <w:tcW w:type="dxa" w:w="947"/>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0.6</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2026-08-18T07:32:20.123Z</dcterms:created>
  <dcterms:modified xsi:type="dcterms:W3CDTF">2026-08-18T07:32:20.123Z</dcterms:modified>
</cp:coreProperties>
</file>

<file path=docProps/custom.xml><?xml version="1.0" encoding="utf-8"?>
<Properties xmlns="http://schemas.openxmlformats.org/officeDocument/2006/custom-properties" xmlns:vt="http://schemas.openxmlformats.org/officeDocument/2006/docPropsVTypes"/>
</file>