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Code-search boundary replication</w:t>
      </w:r>
    </w:p>
    <w:p>
      <w:pPr>
        <w:spacing w:after="200"/>
      </w:pPr>
      <w:r>
        <w:rPr>
          <w:rFonts w:ascii="Calibri" w:cs="Calibri" w:eastAsia="Calibri" w:hAnsi="Calibri"/>
          <w:i/>
          <w:iCs/>
          <w:sz w:val="20"/>
          <w:szCs w:val="20"/>
        </w:rPr>
        <w:t xml:space="preserve">Replication of the published semantic code-search experiment from the authors’ released code and data, undertaken to test whether the sign-changing antecedent holds in a domain sharing no models, corpora or evaluation conventions with clinical retrieval. Baseline retrieval reproduced the published values to within 0.001 across the 18 released-checkpoint cells. Response-defined groups are present at low regularisation and absent above it, and the published mechanistic grouping does not reproduce; the generality claim is withdrawn rather than supported.</w:t>
      </w:r>
    </w:p>
    <w:p>
      <w:pPr>
        <w:spacing w:after="200"/>
      </w:pPr>
      <w:r>
        <w:rPr>
          <w:rFonts w:ascii="Calibri" w:cs="Calibri" w:eastAsia="Calibri" w:hAnsi="Calibri"/>
          <w:i/>
          <w:iCs/>
          <w:sz w:val="20"/>
          <w:szCs w:val="20"/>
        </w:rPr>
        <w:t xml:space="preserve">Configuration keys: codebert = CodeBERT; codebert_ft = fine-tuned CodeBERT, contrastively trained; codet5p = CodeT5+; codellama = Code Llama. Languages are the six CodeSearchNet languages of the published primary grid, plus R, an extension outside that grid.</w:t>
      </w:r>
    </w:p>
    <w:p>
      <w:pPr>
        <w:spacing w:after="100" w:before="240"/>
      </w:pPr>
      <w:r>
        <w:rPr>
          <w:rFonts w:ascii="Calibri" w:cs="Calibri" w:eastAsia="Calibri" w:hAnsi="Calibri"/>
          <w:b/>
          <w:bCs/>
          <w:sz w:val="20"/>
          <w:szCs w:val="20"/>
        </w:rPr>
        <w:t xml:space="preserve">Table S1. Baseline replication against published values</w:t>
      </w:r>
    </w:p>
    <w:tbl>
      <w:tblPr>
        <w:tblW w:type="dxa" w:w="11628"/>
        <w:tblBorders>
          <w:top w:val="single" w:color="BFBFBF" w:sz="4"/>
          <w:left w:val="single" w:color="BFBFBF" w:sz="4"/>
          <w:bottom w:val="single" w:color="BFBFBF" w:sz="4"/>
          <w:right w:val="single" w:color="BFBFBF" w:sz="4"/>
          <w:insideH w:val="single" w:color="BFBFBF" w:sz="4"/>
          <w:insideV w:val="single" w:color="BFBFBF" w:sz="4"/>
        </w:tblBorders>
      </w:tblPr>
      <w:tblGrid>
        <w:gridCol w:w="1281"/>
        <w:gridCol w:w="985"/>
        <w:gridCol w:w="1183"/>
        <w:gridCol w:w="1774"/>
        <w:gridCol w:w="1872"/>
        <w:gridCol w:w="4533"/>
      </w:tblGrid>
      <w:tr>
        <w:trPr>
          <w:cantSplit/>
          <w:tblHeader/>
        </w:trPr>
        <w:tc>
          <w:tcPr>
            <w:tcW w:type="dxa" w:w="1281"/>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Configuration</w:t>
            </w:r>
          </w:p>
        </w:tc>
        <w:tc>
          <w:tcPr>
            <w:tcW w:type="dxa" w:w="985"/>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Language</w:t>
            </w:r>
          </w:p>
        </w:tc>
        <w:tc>
          <w:tcPr>
            <w:tcW w:type="dxa" w:w="118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Baseline MRR</w:t>
            </w:r>
          </w:p>
        </w:tc>
        <w:tc>
          <w:tcPr>
            <w:tcW w:type="dxa" w:w="177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Published baseline</w:t>
            </w:r>
          </w:p>
        </w:tc>
        <w:tc>
          <w:tcPr>
            <w:tcW w:type="dxa" w:w="1872"/>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Absolute difference</w:t>
            </w:r>
          </w:p>
        </w:tc>
        <w:tc>
          <w:tcPr>
            <w:tcW w:type="dxa" w:w="453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Analysis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ruby</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0.0068</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0.006</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0.0008</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javascript</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0.0026</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0.002</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0.0006</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go</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0.0024</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0.002</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0.0004</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0.0009</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0.0009</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python</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0.001</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0.001</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php</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0.0006</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0.0006</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0.0172</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0.011</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0.0062</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extension language, outside the published primary grid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codebert_ft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ruby</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0.5996</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0.547</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0.0526</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independent reimplementation (published checkpoint not released)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codebert_ft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javascript</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0.5188</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0.427</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0.0918</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independent reimplementation (published checkpoint not released)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codebert_ft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go</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0.6315</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0.619</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0.0125</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independent reimplementation (published checkpoint not released)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codebert_ft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0.4643</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0.395</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0.0693</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independent reimplementation (published checkpoint not released)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codebert_ft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python</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0.5975</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0.0975</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independent reimplementation (published checkpoint not released)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codebert_ft</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php</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0.4254</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0.248</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0.1774</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independent reimplementation (published checkpoint not released)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ruby</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0.706</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0.705</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0.001</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javascript</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0.6384</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0.638</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0.0004</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go</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0.7579</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0.757</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0.0009</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0.5951</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0.595</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0.0001</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python</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0.7219</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0.721</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0.0009</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php</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0.5371</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0.537</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0.0001</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0.405</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0.045</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0.36</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extension language, outside the published primary grid</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ruby</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0.0479</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0.047</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0.0009</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javascript</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0.0262</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0.026</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0.0002</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go</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0.0314</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0.031</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0.0004</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java</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0.0159</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0.015</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0.0009</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python</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0.0172</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0.017</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0.0002</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php</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0.0097</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0.009</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0.0007</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baseline replication (released checkpoints, 6 CodeSearchNet languages)</w:t>
            </w:r>
          </w:p>
        </w:tc>
      </w:tr>
      <w:tr>
        <w:trPr>
          <w:cantSplit/>
          <w:tblHeader w:val="false"/>
        </w:trPr>
        <w:tc>
          <w:tcPr>
            <w:tcW w:type="dxa" w:w="12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98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w:t>
            </w:r>
          </w:p>
        </w:tc>
        <w:tc>
          <w:tcPr>
            <w:tcW w:type="dxa" w:w="1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0.016</w:t>
            </w:r>
          </w:p>
        </w:tc>
        <w:tc>
          <w:tcPr>
            <w:tcW w:type="dxa" w:w="177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0.024</w:t>
            </w:r>
          </w:p>
        </w:tc>
        <w:tc>
          <w:tcPr>
            <w:tcW w:type="dxa" w:w="187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0.008</w:t>
            </w:r>
          </w:p>
        </w:tc>
        <w:tc>
          <w:tcPr>
            <w:tcW w:type="dxa" w:w="45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extension language, outside the published primary grid</w:t>
            </w:r>
          </w:p>
        </w:tc>
      </w:tr>
    </w:tbl>
    <w:p>
      <w:pPr>
        <w:spacing w:after="200"/>
      </w:pPr>
      <w:r>
        <w:rPr>
          <w:rFonts w:ascii="Calibri" w:cs="Calibri" w:eastAsia="Calibri" w:hAnsi="Calibri"/>
          <w:i/>
          <w:iCs/>
          <w:sz w:val="20"/>
          <w:szCs w:val="20"/>
        </w:rPr>
        <w:t xml:space="preserve">Note. The published-baseline criterion applies to released checkpoints. The published fine-tuned CodeBERT checkpoint was not released, so that configuration was fine-tuned here with the authors’ released script at their published settings (InfoNCE, learning rate 5e-5, batch size 32, five epochs); the resulting model exceeds the published baseline in all six languages, by 0.013 to 0.177 MRR, and baseline agreement is therefore not an applicable criterion for it. Across the 18 released-checkpoint cells the largest deviation is 0.0010. Of the three extension-language cells, CodeBERT and Code Llama on R reproduce within 0.01 through the same pipeline and corpus, while CodeT5+ on R gives 0.405 against a published 0.045; that cell is reported and carries no claim, and excluding it does not change the regularisation value at which CodeT5+ changes sign.</w:t>
      </w:r>
    </w:p>
    <w:p>
      <w:pPr>
        <w:spacing w:after="100" w:before="240"/>
      </w:pPr>
      <w:r>
        <w:rPr>
          <w:rFonts w:ascii="Calibri" w:cs="Calibri" w:eastAsia="Calibri" w:hAnsi="Calibri"/>
          <w:b/>
          <w:bCs/>
          <w:sz w:val="20"/>
          <w:szCs w:val="20"/>
        </w:rPr>
        <w:t xml:space="preserve">Table S2. Whitening effects by configuration and language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200"/>
        <w:gridCol w:w="840"/>
        <w:gridCol w:w="2520"/>
        <w:gridCol w:w="1440"/>
        <w:gridCol w:w="1440"/>
        <w:gridCol w:w="840"/>
        <w:gridCol w:w="3840"/>
      </w:tblGrid>
      <w:tr>
        <w:trPr>
          <w:cantSplit/>
          <w:tblHeader/>
        </w:trPr>
        <w:tc>
          <w:tcPr>
            <w:tcW w:type="dxa" w:w="156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Configuration</w:t>
            </w:r>
          </w:p>
        </w:tc>
        <w:tc>
          <w:tcPr>
            <w:tcW w:type="dxa" w:w="120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Language</w:t>
            </w:r>
          </w:p>
        </w:tc>
        <w:tc>
          <w:tcPr>
            <w:tcW w:type="dxa" w:w="84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Epsilon</w:t>
            </w:r>
          </w:p>
        </w:tc>
        <w:tc>
          <w:tcPr>
            <w:tcW w:type="dxa" w:w="252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Contrastively trained</w:t>
            </w:r>
          </w:p>
        </w:tc>
        <w:tc>
          <w:tcPr>
            <w:tcW w:type="dxa" w:w="144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Baseline MRR</w:t>
            </w:r>
          </w:p>
        </w:tc>
        <w:tc>
          <w:tcPr>
            <w:tcW w:type="dxa" w:w="144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Whitened MRR</w:t>
            </w:r>
          </w:p>
        </w:tc>
        <w:tc>
          <w:tcPr>
            <w:tcW w:type="dxa" w:w="84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dMRR</w:t>
            </w:r>
          </w:p>
        </w:tc>
        <w:tc>
          <w:tcPr>
            <w:tcW w:type="dxa" w:w="384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0.1269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0.1954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0.1886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0.2295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0.2227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0.2369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0.1894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0.1827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0.0955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0.0887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0.0996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0.0971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0.1205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0.1384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0.1447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0.1422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0.1044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0.1018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0.2351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0.2327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0.2533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0.2509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0.2473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0.2449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0.1747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0.1722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0.0756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0.1367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0.1359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0.1495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0.1486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0.1434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0.1425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0.1028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0.1019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0.0469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0.0295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0.0285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0.1401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0.1391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0.1571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0.1578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0.1567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0.1101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0.1091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0.0504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0.0494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0.0936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0.1028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0.1022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0.0997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0.0684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0.0678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0.0287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0.0281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0.0927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0.0754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0.1167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0.0994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0.1217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0.1394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0.1222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0.1112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0.0652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0.5996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0.6529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0.0532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0.5996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0.653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0.0533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0.5996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0.6545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0.0549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0.5996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0.6528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0.0532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0.5996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0.6414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0.0417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0.5996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0.6259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0.5188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0.5644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0.0456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0.5188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0.5649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0.0461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0.5188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0.565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0.0463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0.5188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0.5619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0.0431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0.5188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0.5514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0.0326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0.5188</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0.0192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0.6315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0.5761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-0.0554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0.6315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0.6823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0.0508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0.6315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0.6819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0.0504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0.6315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0.6315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0.6698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0.0383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0.6315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0.658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0.4643</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0.5109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0.0466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0.4643</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0.5109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0.0466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0.4643</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0.5104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0.4643</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0.5068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0.0425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0.4643</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0.4958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0.4643</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0.4824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0.0181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0.6379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0.0404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0.6382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0.0407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0.6371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0.0396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0.6315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0.0341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0.6193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0.0219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0.6075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0.4254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0.4661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0.0406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0.4254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0.4661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0.0407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0.4254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0.4656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0.4254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0.4604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0.0349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0.4254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0.4479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0.0224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codebert_ft</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0.4254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0.4377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0.0123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0.6727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-0.0332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0.6924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-0.0136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0.7014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-0.0046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0.7127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0.7129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0.7112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0.0052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0.6384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0.5943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0.6384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0.616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-0.0224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0.6384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0.6282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0.6384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0.6395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0.6384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0.6418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0.0034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0.6384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0.6411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0.7377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0.747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-0.0108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0.7513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-0.0065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0.7562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0.5951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0.5583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-0.0367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0.5951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0.578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0.5951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0.5871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0.5951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0.5951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0.5975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0.5951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0.5964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0.7219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0.6772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-0.0446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0.7219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0.6968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-0.0251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0.7219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0.7083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-0.0136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0.7219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0.7207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0.7219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0.7224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0.7219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0.7213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0.4845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-0.0526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0.5082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0.5217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-0.0154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0.5394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0.5371</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0.5386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0.4164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0.0114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0.4443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0.0393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0.4554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0.0504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0.4523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0.4466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0.0416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codet5p</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True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0.405</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0.4416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0.0366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0.3363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0.2884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0.4871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0.4392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0.4988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0.4509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0.5169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0.4691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0.5245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0.4766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ruby</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0.0479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0.4923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0.4444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0.3532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0.327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0.3574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0.3312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0.3726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0.3464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0.3914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0.3652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0.3959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0.3697</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javascript</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0.0262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0.3618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0.3356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0.4729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0.4415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0.4745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0.4431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0.4831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0.4516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0.4972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0.4658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0.4969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0.4655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go</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0.0314</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0.4334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0.0159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0.3305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0.3146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0.0159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0.3313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0.3154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0.0159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0.3362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0.3203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0.0159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0.345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0.3291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0.0159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0.3431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0.3272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java</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0.0159</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0.3013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0.2855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0.3943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0.3771</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0.3951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0.3779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0.4008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0.3836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0.4125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0.3953</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0.4163</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0.3992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python</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0.0172</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0.3834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0.3662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0.0097</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0.2177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0.0097</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0.2186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0.2088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0.0097</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0.2241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0.2144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0.0097</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0.2347</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0.0097</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0.2371</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0.2274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php</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0.0097</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0.2079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0.1982</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primary replication grid</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0.1054</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0.0894</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0.512</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0.5155</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0.4995</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0.5228</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0.5068</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0.5066</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0.4906</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r>
        <w:trPr>
          <w:cantSplit/>
          <w:tblHeader w:val="false"/>
        </w:trPr>
        <w:tc>
          <w:tcPr>
            <w:tcW w:type="dxa" w:w="156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codellama</w:t>
            </w:r>
          </w:p>
        </w:tc>
        <w:tc>
          <w:tcPr>
            <w:tcW w:type="dxa" w:w="120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252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False</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0.016</w:t>
            </w:r>
          </w:p>
        </w:tc>
        <w:tc>
          <w:tcPr>
            <w:tcW w:type="dxa" w:w="14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0.4209</w:t>
            </w:r>
          </w:p>
        </w:tc>
        <w:tc>
          <w:tcPr>
            <w:tcW w:type="dxa" w:w="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0.4049</w:t>
            </w:r>
          </w:p>
        </w:tc>
        <w:tc>
          <w:tcPr>
            <w:tcW w:type="dxa" w:w="384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extended regularisation analysis</w:t>
            </w:r>
          </w:p>
        </w:tc>
      </w:tr>
    </w:tbl>
    <w:p>
      <w:pPr>
        <w:spacing w:after="100" w:before="240"/>
      </w:pPr>
      <w:r>
        <w:rPr>
          <w:rFonts w:ascii="Calibri" w:cs="Calibri" w:eastAsia="Calibri" w:hAnsi="Calibri"/>
          <w:b/>
          <w:bCs/>
          <w:sz w:val="20"/>
          <w:szCs w:val="20"/>
        </w:rPr>
        <w:t xml:space="preserve">Table S3. Regularisation grid</w:t>
      </w:r>
    </w:p>
    <w:tbl>
      <w:tblPr>
        <w:tblW w:type="dxa" w:w="11628"/>
        <w:tblBorders>
          <w:top w:val="single" w:color="BFBFBF" w:sz="4"/>
          <w:left w:val="single" w:color="BFBFBF" w:sz="4"/>
          <w:bottom w:val="single" w:color="BFBFBF" w:sz="4"/>
          <w:right w:val="single" w:color="BFBFBF" w:sz="4"/>
          <w:insideH w:val="single" w:color="BFBFBF" w:sz="4"/>
          <w:insideV w:val="single" w:color="BFBFBF" w:sz="4"/>
        </w:tblBorders>
      </w:tblPr>
      <w:tblGrid>
        <w:gridCol w:w="1112"/>
        <w:gridCol w:w="1710"/>
        <w:gridCol w:w="1796"/>
        <w:gridCol w:w="1881"/>
        <w:gridCol w:w="1710"/>
        <w:gridCol w:w="1710"/>
        <w:gridCol w:w="1709"/>
      </w:tblGrid>
      <w:tr>
        <w:trPr>
          <w:cantSplit/>
          <w:tblHeader/>
        </w:trPr>
        <w:tc>
          <w:tcPr>
            <w:tcW w:type="dxa" w:w="1112"/>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Configuration</w:t>
            </w:r>
          </w:p>
        </w:tc>
        <w:tc>
          <w:tcPr>
            <w:tcW w:type="dxa" w:w="171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0.0</w:t>
            </w:r>
          </w:p>
        </w:tc>
        <w:tc>
          <w:tcPr>
            <w:tcW w:type="dxa" w:w="1796"/>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0.0001</w:t>
            </w:r>
          </w:p>
        </w:tc>
        <w:tc>
          <w:tcPr>
            <w:tcW w:type="dxa" w:w="1881"/>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0.001</w:t>
            </w:r>
          </w:p>
        </w:tc>
        <w:tc>
          <w:tcPr>
            <w:tcW w:type="dxa" w:w="171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0.01</w:t>
            </w:r>
          </w:p>
        </w:tc>
        <w:tc>
          <w:tcPr>
            <w:tcW w:type="dxa" w:w="171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0.1</w:t>
            </w:r>
          </w:p>
        </w:tc>
        <w:tc>
          <w:tcPr>
            <w:tcW w:type="dxa" w:w="170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1.0</w:t>
            </w:r>
          </w:p>
        </w:tc>
      </w:tr>
      <w:tr>
        <w:trPr>
          <w:cantSplit/>
          <w:tblHeader w:val="false"/>
        </w:trPr>
        <w:tc>
          <w:tcPr>
            <w:tcW w:type="dxa" w:w="111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0.045785714285714284</w:t>
            </w:r>
          </w:p>
        </w:tc>
        <w:tc>
          <w:tcPr>
            <w:tcW w:type="dxa" w:w="179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0.14417142857142856</w:t>
            </w:r>
          </w:p>
        </w:tc>
        <w:tc>
          <w:tcPr>
            <w:tcW w:type="dxa" w:w="18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0.16292857142857145</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0.1625142857142857</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0.11850000000000001</w:t>
            </w:r>
          </w:p>
        </w:tc>
        <w:tc>
          <w:tcPr>
            <w:tcW w:type="dxa" w:w="17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0.054528571428571426</w:t>
            </w:r>
          </w:p>
        </w:tc>
      </w:tr>
      <w:tr>
        <w:trPr>
          <w:cantSplit/>
          <w:tblHeader w:val="false"/>
        </w:trPr>
        <w:tc>
          <w:tcPr>
            <w:tcW w:type="dxa" w:w="111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codebert_ft</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0.028499999999999998</w:t>
            </w:r>
          </w:p>
        </w:tc>
        <w:tc>
          <w:tcPr>
            <w:tcW w:type="dxa" w:w="179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0.04636666666666667</w:t>
            </w:r>
          </w:p>
        </w:tc>
        <w:tc>
          <w:tcPr>
            <w:tcW w:type="dxa" w:w="18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0.04621666666666666</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0.04255</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0.031400000000000004</w:t>
            </w:r>
          </w:p>
        </w:tc>
        <w:tc>
          <w:tcPr>
            <w:tcW w:type="dxa" w:w="17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0.018733333333333334</w:t>
            </w:r>
          </w:p>
        </w:tc>
      </w:tr>
      <w:tr>
        <w:trPr>
          <w:cantSplit/>
          <w:tblHeader w:val="false"/>
        </w:trPr>
        <w:tc>
          <w:tcPr>
            <w:tcW w:type="dxa" w:w="111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codellama</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0.29228571428571426</w:t>
            </w:r>
          </w:p>
        </w:tc>
        <w:tc>
          <w:tcPr>
            <w:tcW w:type="dxa" w:w="179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0.3730857142857143</w:t>
            </w:r>
          </w:p>
        </w:tc>
        <w:tc>
          <w:tcPr>
            <w:tcW w:type="dxa" w:w="18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0.3809571428571429</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0.39375714285714286</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0.3937428571428571</w:t>
            </w:r>
          </w:p>
        </w:tc>
        <w:tc>
          <w:tcPr>
            <w:tcW w:type="dxa" w:w="17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0.35259999999999997</w:t>
            </w:r>
          </w:p>
        </w:tc>
      </w:tr>
      <w:tr>
        <w:trPr>
          <w:cantSplit/>
          <w:tblHeader w:val="false"/>
        </w:trPr>
        <w:tc>
          <w:tcPr>
            <w:tcW w:type="dxa" w:w="111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codet5p</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-0.0314</w:t>
            </w:r>
          </w:p>
        </w:tc>
        <w:tc>
          <w:tcPr>
            <w:tcW w:type="dxa" w:w="179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-0.011242857142857143</w:t>
            </w:r>
          </w:p>
        </w:tc>
        <w:tc>
          <w:tcPr>
            <w:tcW w:type="dxa" w:w="188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-0.0011142857142857146</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0.007842857142857143</w:t>
            </w:r>
          </w:p>
        </w:tc>
        <w:tc>
          <w:tcPr>
            <w:tcW w:type="dxa" w:w="171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0.008142857142857143</w:t>
            </w:r>
          </w:p>
        </w:tc>
        <w:tc>
          <w:tcPr>
            <w:tcW w:type="dxa" w:w="17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0.0066</w:t>
            </w:r>
          </w:p>
        </w:tc>
      </w:tr>
    </w:tbl>
    <w:p>
      <w:pPr>
        <w:spacing w:after="200"/>
      </w:pPr>
      <w:r>
        <w:rPr>
          <w:rFonts w:ascii="Calibri" w:cs="Calibri" w:eastAsia="Calibri" w:hAnsi="Calibri"/>
          <w:i/>
          <w:iCs/>
          <w:sz w:val="20"/>
          <w:szCs w:val="20"/>
        </w:rPr>
        <w:t xml:space="preserve">Note. At zero regularisation three configuration means are positive and CodeT5+ is negative, so response-defined groups are both defined. Fine-tuned CodeBERT remains positive at every tested regularisation value, whereas CodeT5+ crosses from negative to positive between 0.001 and 0.01; above that the harmed group is empty and no threshold is defined.</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2026-10-02T13:49:52.932Z</dcterms:created>
  <dcterms:modified xsi:type="dcterms:W3CDTF">2026-10-02T13:49:52.932Z</dcterms:modified>
</cp:coreProperties>
</file>

<file path=docProps/custom.xml><?xml version="1.0" encoding="utf-8"?>
<Properties xmlns="http://schemas.openxmlformats.org/officeDocument/2006/custom-properties" xmlns:vt="http://schemas.openxmlformats.org/officeDocument/2006/docPropsVTypes"/>
</file>