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jc w:val="left"/>
      </w:pPr>
      <w:r>
        <w:rPr>
          <w:rFonts w:ascii="Calibri" w:cs="Calibri" w:eastAsia="Calibri" w:hAnsi="Calibri"/>
          <w:b/>
          <w:bCs/>
          <w:color w:val="2E5AAC"/>
          <w:spacing w:val="30"/>
          <w:sz w:val="20"/>
          <w:szCs w:val="20"/>
        </w:rPr>
        <w:t xml:space="preserve">SCRIBOFLOW  ·  CONTRACT TEMPLATE REVIEW</w:t>
      </w:r>
    </w:p>
    <w:p>
      <w:pPr>
        <w:spacing w:after="40"/>
        <w:jc w:val="left"/>
      </w:pPr>
      <w:r>
        <w:rPr>
          <w:rFonts w:ascii="Calibri" w:cs="Calibri" w:eastAsia="Calibri" w:hAnsi="Calibri"/>
          <w:b/>
          <w:bCs/>
          <w:color w:val="1F3864"/>
          <w:sz w:val="52"/>
          <w:szCs w:val="52"/>
        </w:rPr>
        <w:t xml:space="preserve">Legal Review &amp; Suggested Changes</w:t>
      </w:r>
    </w:p>
    <w:p>
      <w:pPr>
        <w:spacing w:after="300"/>
        <w:jc w:val="left"/>
      </w:pPr>
      <w:r>
        <w:rPr>
          <w:rFonts w:ascii="Calibri" w:cs="Calibri" w:eastAsia="Calibri" w:hAnsi="Calibri"/>
          <w:i/>
          <w:iCs/>
          <w:color w:val="595959"/>
          <w:sz w:val="24"/>
          <w:szCs w:val="24"/>
        </w:rPr>
        <w:t xml:space="preserve">Substantive review of the English master contract templates under Danish law</w:t>
      </w:r>
    </w:p>
    <w:p>
      <w:pPr>
        <w:pBdr>
          <w:top w:val="single" w:color="1F3864" w:sz="12" w:space="8"/>
        </w:pBdr>
        <w:spacing w:after="200"/>
      </w:pPr>
    </w:p>
    <w:p>
      <w:pPr>
        <w:spacing w:after="20"/>
      </w:pPr>
      <w:r>
        <w:rPr>
          <w:rFonts w:ascii="Calibri" w:cs="Calibri" w:eastAsia="Calibri" w:hAnsi="Calibri"/>
          <w:b/>
          <w:bCs/>
          <w:color w:val="222222"/>
          <w:sz w:val="22"/>
          <w:szCs w:val="22"/>
        </w:rPr>
        <w:t xml:space="preserve">Prepared for: </w:t>
      </w:r>
      <w:r>
        <w:rPr>
          <w:rFonts w:ascii="Calibri" w:cs="Calibri" w:eastAsia="Calibri" w:hAnsi="Calibri"/>
          <w:color w:val="222222"/>
          <w:sz w:val="22"/>
          <w:szCs w:val="22"/>
        </w:rPr>
        <w:t xml:space="preserve">Scriboflow</w:t>
      </w:r>
    </w:p>
    <w:p>
      <w:pPr>
        <w:spacing w:after="20"/>
      </w:pPr>
      <w:r>
        <w:rPr>
          <w:rFonts w:ascii="Calibri" w:cs="Calibri" w:eastAsia="Calibri" w:hAnsi="Calibri"/>
          <w:b/>
          <w:bCs/>
          <w:color w:val="222222"/>
          <w:sz w:val="22"/>
          <w:szCs w:val="22"/>
        </w:rPr>
        <w:t xml:space="preserve">Scope: </w:t>
      </w:r>
      <w:r>
        <w:rPr>
          <w:rFonts w:ascii="Calibri" w:cs="Calibri" w:eastAsia="Calibri" w:hAnsi="Calibri"/>
          <w:color w:val="222222"/>
          <w:sz w:val="22"/>
          <w:szCs w:val="22"/>
        </w:rPr>
        <w:t xml:space="preserve">31 English master templates across six practice areas</w:t>
      </w:r>
    </w:p>
    <w:p>
      <w:pPr>
        <w:spacing w:after="20"/>
      </w:pPr>
      <w:r>
        <w:rPr>
          <w:rFonts w:ascii="Calibri" w:cs="Calibri" w:eastAsia="Calibri" w:hAnsi="Calibri"/>
          <w:b/>
          <w:bCs/>
          <w:color w:val="222222"/>
          <w:sz w:val="22"/>
          <w:szCs w:val="22"/>
        </w:rPr>
        <w:t xml:space="preserve">Date: </w:t>
      </w:r>
      <w:r>
        <w:rPr>
          <w:rFonts w:ascii="Calibri" w:cs="Calibri" w:eastAsia="Calibri" w:hAnsi="Calibri"/>
          <w:color w:val="222222"/>
          <w:sz w:val="22"/>
          <w:szCs w:val="22"/>
        </w:rPr>
        <w:t xml:space="preserve">9 July 2026</w:t>
      </w:r>
    </w:p>
    <w:p>
      <w:pPr>
        <w:pBdr>
          <w:top w:val="single" w:color="C9D6EE" w:sz="6" w:space="10"/>
          <w:bottom w:val="single" w:color="C9D6EE" w:sz="6" w:space="10"/>
          <w:left w:val="single" w:color="C9D6EE" w:sz="6" w:space="10"/>
          <w:right w:val="single" w:color="C9D6EE" w:sz="6" w:space="10"/>
        </w:pBdr>
        <w:shd w:fill="F2F5FB" w:color="auto" w:val="clear"/>
        <w:spacing w:after="0" w:before="320"/>
      </w:pPr>
      <w:r>
        <w:rPr>
          <w:rFonts w:ascii="Calibri" w:cs="Calibri" w:eastAsia="Calibri" w:hAnsi="Calibri"/>
          <w:b/>
          <w:bCs/>
          <w:color w:val="1F3864"/>
          <w:sz w:val="20"/>
          <w:szCs w:val="20"/>
        </w:rPr>
        <w:t xml:space="preserve">Important</w:t>
      </w:r>
    </w:p>
    <w:p>
      <w:pPr>
        <w:pBdr>
          <w:bottom w:val="single" w:color="C9D6EE" w:sz="6" w:space="10"/>
          <w:left w:val="single" w:color="C9D6EE" w:sz="6" w:space="10"/>
          <w:right w:val="single" w:color="C9D6EE" w:sz="6" w:space="10"/>
        </w:pBdr>
        <w:shd w:fill="F2F5FB" w:color="auto" w:val="clear"/>
        <w:spacing w:after="200" w:before="20"/>
        <w:jc w:val="both"/>
      </w:pPr>
      <w:r>
        <w:rPr>
          <w:rFonts w:ascii="Calibri" w:cs="Calibri" w:eastAsia="Calibri" w:hAnsi="Calibri"/>
          <w:color w:val="595959"/>
          <w:sz w:val="20"/>
          <w:szCs w:val="20"/>
        </w:rPr>
        <w:t xml:space="preserve">This document is a practical legal-substance review to guide template improvement. It is not legal advice and does not create a lawyer–client relationship. The templates are generic and drafted for Danish law; specific transactions should be checked by a qualified Danish lawyer before use. Statutory references (e.g. Erhvervslejeloven, Funktionærloven, the Act on Employment Clauses, Selskabsloven, Renteloven, GDPR) are given to orient drafting, not as a substitute for current statutory text. Findings apply equally to the corresponding Danish (DA) master templates, which mirror the English clause structure.</w:t>
      </w:r>
    </w:p>
    <w:p>
      <w:r>
        <w:br w:type="page"/>
      </w:r>
    </w:p>
    <w:p>
      <w:pPr>
        <w:spacing w:after="160"/>
      </w:pPr>
      <w:r>
        <w:rPr>
          <w:rFonts w:ascii="Calibri" w:cs="Calibri" w:eastAsia="Calibri" w:hAnsi="Calibri"/>
          <w:b/>
          <w:bCs/>
          <w:color w:val="1F3864"/>
          <w:sz w:val="32"/>
          <w:szCs w:val="32"/>
        </w:rPr>
        <w:t xml:space="preserve">Contents</w:t>
      </w:r>
    </w:p>
    <w:p>
      <w:pPr>
        <w:spacing w:after="40" w:before="140"/>
      </w:pPr>
      <w:r>
        <w:rPr>
          <w:rFonts w:ascii="Calibri" w:cs="Calibri" w:eastAsia="Calibri" w:hAnsi="Calibri"/>
          <w:b/>
          <w:bCs/>
          <w:color w:val="2E5AAC"/>
          <w:sz w:val="22"/>
          <w:szCs w:val="22"/>
        </w:rPr>
        <w:t xml:space="preserve">Real Estate</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Commercial Lease Agreement</w:t>
      </w:r>
      <w:r>
        <w:rPr>
          <w:rFonts w:ascii="Calibri" w:cs="Calibri" w:eastAsia="Calibri" w:hAnsi="Calibri"/>
          <w:i/>
          <w:iCs/>
          <w:color w:val="595959"/>
          <w:sz w:val="18"/>
          <w:szCs w:val="18"/>
        </w:rPr>
        <w:t xml:space="preserve">   —   8 issues</w:t>
      </w:r>
    </w:p>
    <w:p>
      <w:pPr>
        <w:spacing w:after="40" w:before="140"/>
      </w:pPr>
      <w:r>
        <w:rPr>
          <w:rFonts w:ascii="Calibri" w:cs="Calibri" w:eastAsia="Calibri" w:hAnsi="Calibri"/>
          <w:b/>
          <w:bCs/>
          <w:color w:val="2E5AAC"/>
          <w:sz w:val="22"/>
          <w:szCs w:val="22"/>
        </w:rPr>
        <w:t xml:space="preserve">Employment &amp; Engagement</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Employment Agreement (Fixed Payment)</w:t>
      </w:r>
      <w:r>
        <w:rPr>
          <w:rFonts w:ascii="Calibri" w:cs="Calibri" w:eastAsia="Calibri" w:hAnsi="Calibri"/>
          <w:i/>
          <w:iCs/>
          <w:color w:val="595959"/>
          <w:sz w:val="18"/>
          <w:szCs w:val="18"/>
        </w:rPr>
        <w:t xml:space="preserve">   —   6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Employment Agreement (Hourly Paid)</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Employment Agreement (Salaried, Fixed Term)</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Offer Letter</w:t>
      </w:r>
      <w:r>
        <w:rPr>
          <w:rFonts w:ascii="Calibri" w:cs="Calibri" w:eastAsia="Calibri" w:hAnsi="Calibri"/>
          <w:i/>
          <w:iCs/>
          <w:color w:val="595959"/>
          <w:sz w:val="18"/>
          <w:szCs w:val="18"/>
        </w:rPr>
        <w:t xml:space="preserve">   —   4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Employee Separation Agreement</w:t>
      </w:r>
      <w:r>
        <w:rPr>
          <w:rFonts w:ascii="Calibri" w:cs="Calibri" w:eastAsia="Calibri" w:hAnsi="Calibri"/>
          <w:i/>
          <w:iCs/>
          <w:color w:val="595959"/>
          <w:sz w:val="18"/>
          <w:szCs w:val="18"/>
        </w:rPr>
        <w:t xml:space="preserve">   —   4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Freelance Agreement</w:t>
      </w:r>
      <w:r>
        <w:rPr>
          <w:rFonts w:ascii="Calibri" w:cs="Calibri" w:eastAsia="Calibri" w:hAnsi="Calibri"/>
          <w:i/>
          <w:iCs/>
          <w:color w:val="595959"/>
          <w:sz w:val="18"/>
          <w:szCs w:val="18"/>
        </w:rPr>
        <w:t xml:space="preserve">   —   4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Consulting Agreement</w:t>
      </w:r>
      <w:r>
        <w:rPr>
          <w:rFonts w:ascii="Calibri" w:cs="Calibri" w:eastAsia="Calibri" w:hAnsi="Calibri"/>
          <w:i/>
          <w:iCs/>
          <w:color w:val="595959"/>
          <w:sz w:val="18"/>
          <w:szCs w:val="18"/>
        </w:rPr>
        <w:t xml:space="preserve">   —   4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Non-Compete Agreement</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Non-Solicitation Agreement</w:t>
      </w:r>
      <w:r>
        <w:rPr>
          <w:rFonts w:ascii="Calibri" w:cs="Calibri" w:eastAsia="Calibri" w:hAnsi="Calibri"/>
          <w:i/>
          <w:iCs/>
          <w:color w:val="595959"/>
          <w:sz w:val="18"/>
          <w:szCs w:val="18"/>
        </w:rPr>
        <w:t xml:space="preserve">   —   5 issues</w:t>
      </w:r>
    </w:p>
    <w:p>
      <w:pPr>
        <w:spacing w:after="40" w:before="140"/>
      </w:pPr>
      <w:r>
        <w:rPr>
          <w:rFonts w:ascii="Calibri" w:cs="Calibri" w:eastAsia="Calibri" w:hAnsi="Calibri"/>
          <w:b/>
          <w:bCs/>
          <w:color w:val="2E5AAC"/>
          <w:sz w:val="22"/>
          <w:szCs w:val="22"/>
        </w:rPr>
        <w:t xml:space="preserve">Commercial &amp; Sales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Distribution Agreement</w:t>
      </w:r>
      <w:r>
        <w:rPr>
          <w:rFonts w:ascii="Calibri" w:cs="Calibri" w:eastAsia="Calibri" w:hAnsi="Calibri"/>
          <w:i/>
          <w:iCs/>
          <w:color w:val="595959"/>
          <w:sz w:val="18"/>
          <w:szCs w:val="18"/>
        </w:rPr>
        <w:t xml:space="preserve">   —   6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Exclusive Distribution Agreement</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Consignment Agreement</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Vendor Agreement</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Product Supply Agreement</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Sales and Purchase Agreement</w:t>
      </w:r>
      <w:r>
        <w:rPr>
          <w:rFonts w:ascii="Calibri" w:cs="Calibri" w:eastAsia="Calibri" w:hAnsi="Calibri"/>
          <w:i/>
          <w:iCs/>
          <w:color w:val="595959"/>
          <w:sz w:val="18"/>
          <w:szCs w:val="18"/>
        </w:rPr>
        <w:t xml:space="preserve">   —   6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General Terms and Conditions of Sale</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Service Agreement</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Payment Agreement</w:t>
      </w:r>
      <w:r>
        <w:rPr>
          <w:rFonts w:ascii="Calibri" w:cs="Calibri" w:eastAsia="Calibri" w:hAnsi="Calibri"/>
          <w:i/>
          <w:iCs/>
          <w:color w:val="595959"/>
          <w:sz w:val="18"/>
          <w:szCs w:val="18"/>
        </w:rPr>
        <w:t xml:space="preserve">   —   5 issues</w:t>
      </w:r>
    </w:p>
    <w:p>
      <w:pPr>
        <w:spacing w:after="40" w:before="140"/>
      </w:pPr>
      <w:r>
        <w:rPr>
          <w:rFonts w:ascii="Calibri" w:cs="Calibri" w:eastAsia="Calibri" w:hAnsi="Calibri"/>
          <w:b/>
          <w:bCs/>
          <w:color w:val="2E5AAC"/>
          <w:sz w:val="22"/>
          <w:szCs w:val="22"/>
        </w:rPr>
        <w:t xml:space="preserve">IP, Licensing &amp; Data</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Exclusive License Agreement</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Non-Exclusive License Agreement</w:t>
      </w:r>
      <w:r>
        <w:rPr>
          <w:rFonts w:ascii="Calibri" w:cs="Calibri" w:eastAsia="Calibri" w:hAnsi="Calibri"/>
          <w:i/>
          <w:iCs/>
          <w:color w:val="595959"/>
          <w:sz w:val="18"/>
          <w:szCs w:val="18"/>
        </w:rPr>
        <w:t xml:space="preserve">   —   4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Intellectual Property Assignment Agreement</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Data Processing Agreement</w:t>
      </w:r>
      <w:r>
        <w:rPr>
          <w:rFonts w:ascii="Calibri" w:cs="Calibri" w:eastAsia="Calibri" w:hAnsi="Calibri"/>
          <w:i/>
          <w:iCs/>
          <w:color w:val="595959"/>
          <w:sz w:val="18"/>
          <w:szCs w:val="18"/>
        </w:rPr>
        <w:t xml:space="preserve">   —   6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Mutual Non-Disclosure Agreement</w:t>
      </w:r>
      <w:r>
        <w:rPr>
          <w:rFonts w:ascii="Calibri" w:cs="Calibri" w:eastAsia="Calibri" w:hAnsi="Calibri"/>
          <w:i/>
          <w:iCs/>
          <w:color w:val="595959"/>
          <w:sz w:val="18"/>
          <w:szCs w:val="18"/>
        </w:rPr>
        <w:t xml:space="preserve">   —   3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Unilateral Non-Disclosure Agreement</w:t>
      </w:r>
      <w:r>
        <w:rPr>
          <w:rFonts w:ascii="Calibri" w:cs="Calibri" w:eastAsia="Calibri" w:hAnsi="Calibri"/>
          <w:i/>
          <w:iCs/>
          <w:color w:val="595959"/>
          <w:sz w:val="18"/>
          <w:szCs w:val="18"/>
        </w:rPr>
        <w:t xml:space="preserve">   —   3 issues</w:t>
      </w:r>
    </w:p>
    <w:p>
      <w:pPr>
        <w:spacing w:after="40" w:before="140"/>
      </w:pPr>
      <w:r>
        <w:rPr>
          <w:rFonts w:ascii="Calibri" w:cs="Calibri" w:eastAsia="Calibri" w:hAnsi="Calibri"/>
          <w:b/>
          <w:bCs/>
          <w:color w:val="2E5AAC"/>
          <w:sz w:val="22"/>
          <w:szCs w:val="22"/>
        </w:rPr>
        <w:t xml:space="preserve">Corporate &amp; Finance</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Articles of Association</w:t>
      </w:r>
      <w:r>
        <w:rPr>
          <w:rFonts w:ascii="Calibri" w:cs="Calibri" w:eastAsia="Calibri" w:hAnsi="Calibri"/>
          <w:i/>
          <w:iCs/>
          <w:color w:val="595959"/>
          <w:sz w:val="18"/>
          <w:szCs w:val="18"/>
        </w:rPr>
        <w:t xml:space="preserve">   —   6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Shareholders' Agreement</w:t>
      </w:r>
      <w:r>
        <w:rPr>
          <w:rFonts w:ascii="Calibri" w:cs="Calibri" w:eastAsia="Calibri" w:hAnsi="Calibri"/>
          <w:i/>
          <w:iCs/>
          <w:color w:val="595959"/>
          <w:sz w:val="18"/>
          <w:szCs w:val="18"/>
        </w:rPr>
        <w:t xml:space="preserve">   —   6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Share Purchase Agreement</w:t>
      </w:r>
      <w:r>
        <w:rPr>
          <w:rFonts w:ascii="Calibri" w:cs="Calibri" w:eastAsia="Calibri" w:hAnsi="Calibri"/>
          <w:i/>
          <w:iCs/>
          <w:color w:val="595959"/>
          <w:sz w:val="18"/>
          <w:szCs w:val="18"/>
        </w:rPr>
        <w:t xml:space="preserve">   —   6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Partnership Agreement</w:t>
      </w:r>
      <w:r>
        <w:rPr>
          <w:rFonts w:ascii="Calibri" w:cs="Calibri" w:eastAsia="Calibri" w:hAnsi="Calibri"/>
          <w:i/>
          <w:iCs/>
          <w:color w:val="595959"/>
          <w:sz w:val="18"/>
          <w:szCs w:val="18"/>
        </w:rPr>
        <w:t xml:space="preserve">   —   6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Memorandum of Understanding</w:t>
      </w:r>
      <w:r>
        <w:rPr>
          <w:rFonts w:ascii="Calibri" w:cs="Calibri" w:eastAsia="Calibri" w:hAnsi="Calibri"/>
          <w:i/>
          <w:iCs/>
          <w:color w:val="595959"/>
          <w:sz w:val="18"/>
          <w:szCs w:val="18"/>
        </w:rPr>
        <w:t xml:space="preserve">   —   5 issues</w:t>
      </w:r>
    </w:p>
    <w:p>
      <w:pPr>
        <w:spacing w:after="20"/>
        <w:ind w:left="280"/>
      </w:pPr>
      <w:r>
        <w:rPr>
          <w:rFonts w:ascii="Calibri" w:cs="Calibri" w:eastAsia="Calibri" w:hAnsi="Calibri"/>
          <w:color w:val="595959"/>
          <w:sz w:val="20"/>
          <w:szCs w:val="20"/>
        </w:rPr>
        <w:t xml:space="preserve">•  </w:t>
      </w:r>
      <w:r>
        <w:rPr>
          <w:rFonts w:ascii="Calibri" w:cs="Calibri" w:eastAsia="Calibri" w:hAnsi="Calibri"/>
          <w:color w:val="222222"/>
          <w:sz w:val="20"/>
          <w:szCs w:val="20"/>
        </w:rPr>
        <w:t xml:space="preserve">Loan Agreement</w:t>
      </w:r>
      <w:r>
        <w:rPr>
          <w:rFonts w:ascii="Calibri" w:cs="Calibri" w:eastAsia="Calibri" w:hAnsi="Calibri"/>
          <w:i/>
          <w:iCs/>
          <w:color w:val="595959"/>
          <w:sz w:val="18"/>
          <w:szCs w:val="18"/>
        </w:rPr>
        <w:t xml:space="preserve">   —   5 issues</w:t>
      </w:r>
    </w:p>
    <w:p>
      <w:r>
        <w:br w:type="page"/>
      </w:r>
    </w:p>
    <w:p>
      <w:pPr>
        <w:pStyle w:val="Heading1"/>
        <w:spacing w:after="100"/>
      </w:pPr>
      <w:r>
        <w:rPr>
          <w:rFonts w:ascii="Calibri" w:cs="Calibri" w:eastAsia="Calibri" w:hAnsi="Calibri"/>
          <w:b/>
          <w:bCs/>
          <w:color w:val="1F3864"/>
          <w:sz w:val="30"/>
          <w:szCs w:val="30"/>
        </w:rPr>
        <w:t xml:space="preserve">How to read this review</w:t>
      </w:r>
    </w:p>
    <w:p>
      <w:pPr>
        <w:spacing w:after="100"/>
        <w:jc w:val="both"/>
      </w:pPr>
      <w:r>
        <w:rPr>
          <w:rFonts w:ascii="Calibri" w:cs="Calibri" w:eastAsia="Calibri" w:hAnsi="Calibri"/>
          <w:color w:val="222222"/>
          <w:sz w:val="21"/>
          <w:szCs w:val="21"/>
        </w:rPr>
        <w:t xml:space="preserve">Templates are grouped by practice area. Each template lists its most important issues in priority order. Every issue states the legal gap in bold, explains why it matters under Danish law, and gives a concrete suggested change in the highlighted line beneath. The aim is not to rewrite each contract in full, but to flag the points where the template is silent, unenforceable as drafted, or in tension with mandatory law — so they can be turned into deliberate drafting or configurable choices in the product.</w:t>
      </w:r>
    </w:p>
    <w:p>
      <w:pPr>
        <w:spacing w:after="60" w:before="120"/>
      </w:pPr>
      <w:r>
        <w:rPr>
          <w:rFonts w:ascii="Calibri" w:cs="Calibri" w:eastAsia="Calibri" w:hAnsi="Calibri"/>
          <w:b/>
          <w:bCs/>
          <w:color w:val="2E5AAC"/>
          <w:sz w:val="24"/>
          <w:szCs w:val="24"/>
        </w:rPr>
        <w:t xml:space="preserve">Recurring themes across the set</w:t>
      </w:r>
    </w:p>
    <w:p>
      <w:pPr>
        <w:pBdr>
          <w:left w:val="single" w:color="C9D6EE" w:sz="18" w:space="12"/>
        </w:pBdr>
        <w:spacing w:after="80"/>
        <w:ind w:left="260"/>
        <w:jc w:val="both"/>
      </w:pPr>
      <w:r>
        <w:rPr>
          <w:rFonts w:ascii="Calibri" w:cs="Calibri" w:eastAsia="Calibri" w:hAnsi="Calibri"/>
          <w:b/>
          <w:bCs/>
          <w:color w:val="222222"/>
          <w:sz w:val="21"/>
          <w:szCs w:val="21"/>
        </w:rPr>
        <w:t xml:space="preserve">Mandatory law overrides silence.  </w:t>
      </w:r>
      <w:r>
        <w:rPr>
          <w:rFonts w:ascii="Calibri" w:cs="Calibri" w:eastAsia="Calibri" w:hAnsi="Calibri"/>
          <w:color w:val="595959"/>
          <w:sz w:val="21"/>
          <w:szCs w:val="21"/>
        </w:rPr>
        <w:t xml:space="preserve">Several templates defer to "applicable law" where Danish mandatory rules will apply regardless — statutory notice (Funktionærloven), the påkrav procedure for lease and debt default, market-rent adjustment, and non-compete validity conditions. Deferring to law does not protect the party the clause is meant to protect.</w:t>
      </w:r>
    </w:p>
    <w:p>
      <w:pPr>
        <w:pBdr>
          <w:left w:val="single" w:color="C9D6EE" w:sz="18" w:space="12"/>
        </w:pBdr>
        <w:spacing w:after="80"/>
        <w:ind w:left="260"/>
        <w:jc w:val="both"/>
      </w:pPr>
      <w:r>
        <w:rPr>
          <w:rFonts w:ascii="Calibri" w:cs="Calibri" w:eastAsia="Calibri" w:hAnsi="Calibri"/>
          <w:b/>
          <w:bCs/>
          <w:color w:val="222222"/>
          <w:sz w:val="21"/>
          <w:szCs w:val="21"/>
        </w:rPr>
        <w:t xml:space="preserve">Blank fields hide legal choices, not just data.  </w:t>
      </w:r>
      <w:r>
        <w:rPr>
          <w:rFonts w:ascii="Calibri" w:cs="Calibri" w:eastAsia="Calibri" w:hAnsi="Calibri"/>
          <w:color w:val="595959"/>
          <w:sz w:val="21"/>
          <w:szCs w:val="21"/>
        </w:rPr>
        <w:t xml:space="preserve">Placeholders for notice periods, interest rates, warranty windows and thresholds often conceal a required legal decision (e.g. tiering warranty survival, stating a real default-interest rate). Flag these as choices, not just fields.</w:t>
      </w:r>
    </w:p>
    <w:p>
      <w:pPr>
        <w:pBdr>
          <w:left w:val="single" w:color="C9D6EE" w:sz="18" w:space="12"/>
        </w:pBdr>
        <w:spacing w:after="80"/>
        <w:ind w:left="260"/>
        <w:jc w:val="both"/>
      </w:pPr>
      <w:r>
        <w:rPr>
          <w:rFonts w:ascii="Calibri" w:cs="Calibri" w:eastAsia="Calibri" w:hAnsi="Calibri"/>
          <w:b/>
          <w:bCs/>
          <w:color w:val="222222"/>
          <w:sz w:val="21"/>
          <w:szCs w:val="21"/>
        </w:rPr>
        <w:t xml:space="preserve">VAT and cross-border defaults are missing.  </w:t>
      </w:r>
      <w:r>
        <w:rPr>
          <w:rFonts w:ascii="Calibri" w:cs="Calibri" w:eastAsia="Calibri" w:hAnsi="Calibri"/>
          <w:color w:val="595959"/>
          <w:sz w:val="21"/>
          <w:szCs w:val="21"/>
        </w:rPr>
        <w:t xml:space="preserve">Sales / supply templates rarely state VAT treatment or exclude the CISG, both of which change the commercial outcome materially.</w:t>
      </w:r>
    </w:p>
    <w:p>
      <w:pPr>
        <w:pBdr>
          <w:left w:val="single" w:color="C9D6EE" w:sz="18" w:space="12"/>
        </w:pBdr>
        <w:spacing w:after="80"/>
        <w:ind w:left="260"/>
        <w:jc w:val="both"/>
      </w:pPr>
      <w:r>
        <w:rPr>
          <w:rFonts w:ascii="Calibri" w:cs="Calibri" w:eastAsia="Calibri" w:hAnsi="Calibri"/>
          <w:b/>
          <w:bCs/>
          <w:color w:val="222222"/>
          <w:sz w:val="21"/>
          <w:szCs w:val="21"/>
        </w:rPr>
        <w:t xml:space="preserve">Moral rights cannot be fully waived.  </w:t>
      </w:r>
      <w:r>
        <w:rPr>
          <w:rFonts w:ascii="Calibri" w:cs="Calibri" w:eastAsia="Calibri" w:hAnsi="Calibri"/>
          <w:color w:val="595959"/>
          <w:sz w:val="21"/>
          <w:szCs w:val="21"/>
        </w:rPr>
        <w:t xml:space="preserve">IP assignments and licences treat authorship / integrity rights as fully waivable; under Ophavsretsloven they are not, so these clauses should be reframed as limited non-assertion undertakings.</w:t>
      </w:r>
    </w:p>
    <w:p>
      <w:pPr>
        <w:pBdr>
          <w:left w:val="single" w:color="C9D6EE" w:sz="18" w:space="12"/>
        </w:pBdr>
        <w:spacing w:after="80"/>
        <w:ind w:left="260"/>
        <w:jc w:val="both"/>
      </w:pPr>
      <w:r>
        <w:rPr>
          <w:rFonts w:ascii="Calibri" w:cs="Calibri" w:eastAsia="Calibri" w:hAnsi="Calibri"/>
          <w:b/>
          <w:bCs/>
          <w:color w:val="222222"/>
          <w:sz w:val="21"/>
          <w:szCs w:val="21"/>
        </w:rPr>
        <w:t xml:space="preserve">Liability caps lack the right carve-outs.  </w:t>
      </w:r>
      <w:r>
        <w:rPr>
          <w:rFonts w:ascii="Calibri" w:cs="Calibri" w:eastAsia="Calibri" w:hAnsi="Calibri"/>
          <w:color w:val="595959"/>
          <w:sz w:val="21"/>
          <w:szCs w:val="21"/>
        </w:rPr>
        <w:t xml:space="preserve">Caps frequently fail to exclude product liability, IP-infringement indemnities, or confidentiality / out-of-scope misuse.</w:t>
      </w:r>
    </w:p>
    <w:p>
      <w:r>
        <w:br w:type="page"/>
      </w:r>
    </w:p>
    <w:p>
      <w:pPr>
        <w:pStyle w:val="Heading1"/>
        <w:spacing w:after="40" w:before="60"/>
      </w:pPr>
      <w:r>
        <w:rPr>
          <w:rFonts w:ascii="Calibri" w:cs="Calibri" w:eastAsia="Calibri" w:hAnsi="Calibri"/>
          <w:b/>
          <w:bCs/>
          <w:color w:val="1F3864"/>
          <w:sz w:val="32"/>
          <w:szCs w:val="32"/>
        </w:rPr>
        <w:t xml:space="preserve">Real Estate</w:t>
      </w:r>
    </w:p>
    <w:p>
      <w:pPr>
        <w:pBdr>
          <w:bottom w:val="single" w:color="2E5AAC" w:sz="12" w:space="6"/>
        </w:pBdr>
        <w:spacing w:after="160"/>
      </w:pPr>
    </w:p>
    <w:p>
      <w:pPr>
        <w:pStyle w:val="Heading2"/>
        <w:spacing w:after="20" w:before="180"/>
      </w:pPr>
      <w:r>
        <w:rPr>
          <w:rFonts w:ascii="Calibri" w:cs="Calibri" w:eastAsia="Calibri" w:hAnsi="Calibri"/>
          <w:b/>
          <w:bCs/>
          <w:color w:val="2E5AAC"/>
          <w:sz w:val="26"/>
          <w:szCs w:val="26"/>
        </w:rPr>
        <w:t xml:space="preserve">Commercial Lease Agreement</w:t>
      </w:r>
    </w:p>
    <w:p>
      <w:pPr>
        <w:spacing w:after="60"/>
      </w:pPr>
      <w:r>
        <w:rPr>
          <w:rFonts w:ascii="Calibri" w:cs="Calibri" w:eastAsia="Calibri" w:hAnsi="Calibri"/>
          <w:i/>
          <w:iCs/>
          <w:color w:val="595959"/>
          <w:sz w:val="18"/>
          <w:szCs w:val="18"/>
        </w:rPr>
        <w:t xml:space="preserve">COMMERCIAL_LEASE_AGREEMENT_MASTER_EN.md</w:t>
      </w:r>
    </w:p>
    <w:p>
      <w:pPr>
        <w:spacing w:after="40" w:before="160"/>
      </w:pPr>
      <w:r>
        <w:rPr>
          <w:rFonts w:ascii="Calibri" w:cs="Calibri" w:eastAsia="Calibri" w:hAnsi="Calibri"/>
          <w:b/>
          <w:bCs/>
          <w:color w:val="222222"/>
          <w:sz w:val="21"/>
          <w:szCs w:val="21"/>
        </w:rPr>
        <w:t xml:space="preserve">Non-payment cannot be enforced as drafted.</w:t>
      </w:r>
    </w:p>
    <w:p>
      <w:pPr>
        <w:spacing w:after="40"/>
        <w:jc w:val="both"/>
      </w:pPr>
      <w:r>
        <w:rPr>
          <w:rFonts w:ascii="Calibri" w:cs="Calibri" w:eastAsia="Calibri" w:hAnsi="Calibri"/>
          <w:color w:val="222222"/>
          <w:sz w:val="21"/>
          <w:szCs w:val="21"/>
        </w:rPr>
        <w:t xml:space="preserve">The default clause lets the Landlord demand immediate payment or terminate on overdue rent. Under the Danish Commercial Lease Act (Erhvervslejeloven §69), a landlord cannot terminate (ophæve) for late payment until it has sent a written demand (påkrav) after the due date, giving a statutory minimum cure period in prescribed form. A landlord following the clause literally would likely lose an eviction case.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Rewrite the default clause to build in the påkrav / cure procedure before any termination for non-payment.</w:t>
      </w:r>
    </w:p>
    <w:p>
      <w:pPr>
        <w:spacing w:after="40" w:before="160"/>
      </w:pPr>
      <w:r>
        <w:rPr>
          <w:rFonts w:ascii="Calibri" w:cs="Calibri" w:eastAsia="Calibri" w:hAnsi="Calibri"/>
          <w:b/>
          <w:bCs/>
          <w:color w:val="222222"/>
          <w:sz w:val="21"/>
          <w:szCs w:val="21"/>
        </w:rPr>
        <w:t xml:space="preserve">VAT (moms) is entirely absent.</w:t>
      </w:r>
    </w:p>
    <w:p>
      <w:pPr>
        <w:spacing w:after="40"/>
        <w:jc w:val="both"/>
      </w:pPr>
      <w:r>
        <w:rPr>
          <w:rFonts w:ascii="Calibri" w:cs="Calibri" w:eastAsia="Calibri" w:hAnsi="Calibri"/>
          <w:color w:val="222222"/>
          <w:sz w:val="21"/>
          <w:szCs w:val="21"/>
        </w:rPr>
        <w:t xml:space="preserve">Commercial rent is only VAT-liable if the landlord has voluntarily registered the property for VAT, which materially changes the amount. The template states the rent, deposit and operating costs with no indication of whether they are inclusive or exclusive of VAT.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VAT clause stating whether the property is voluntarily VAT-registered and whether rent, deposit and operating costs are stated inclusive or exclusive of VAT.</w:t>
      </w:r>
    </w:p>
    <w:p>
      <w:pPr>
        <w:spacing w:after="40" w:before="160"/>
      </w:pPr>
      <w:r>
        <w:rPr>
          <w:rFonts w:ascii="Calibri" w:cs="Calibri" w:eastAsia="Calibri" w:hAnsi="Calibri"/>
          <w:b/>
          <w:bCs/>
          <w:color w:val="222222"/>
          <w:sz w:val="21"/>
          <w:szCs w:val="21"/>
        </w:rPr>
        <w:t xml:space="preserve">Operating costs are too loosely defined to be enforceable.</w:t>
      </w:r>
    </w:p>
    <w:p>
      <w:pPr>
        <w:spacing w:after="40"/>
        <w:jc w:val="both"/>
      </w:pPr>
      <w:r>
        <w:rPr>
          <w:rFonts w:ascii="Calibri" w:cs="Calibri" w:eastAsia="Calibri" w:hAnsi="Calibri"/>
          <w:color w:val="222222"/>
          <w:sz w:val="21"/>
          <w:szCs w:val="21"/>
        </w:rPr>
        <w:t xml:space="preserve">Danish law requires passed-through operating costs (driftsudgifter) to be itemised and agreed, with a budget and annual statement. The open-ended "other shared costs" catch-all is exactly the kind of pass-through a tenant can later challenge; property-tax pass-through also has its own rules.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Replace the catch-all with a closed, itemised list of cost types and add a budgeting / annual reconciliation mechanism.</w:t>
      </w:r>
    </w:p>
    <w:p>
      <w:pPr>
        <w:spacing w:after="40" w:before="160"/>
      </w:pPr>
      <w:r>
        <w:rPr>
          <w:rFonts w:ascii="Calibri" w:cs="Calibri" w:eastAsia="Calibri" w:hAnsi="Calibri"/>
          <w:b/>
          <w:bCs/>
          <w:color w:val="222222"/>
          <w:sz w:val="21"/>
          <w:szCs w:val="21"/>
        </w:rPr>
        <w:t xml:space="preserve">"Rent shall not decrease" conflicts with the market-rent rules.</w:t>
      </w:r>
    </w:p>
    <w:p>
      <w:pPr>
        <w:spacing w:after="40"/>
        <w:jc w:val="both"/>
      </w:pPr>
      <w:r>
        <w:rPr>
          <w:rFonts w:ascii="Calibri" w:cs="Calibri" w:eastAsia="Calibri" w:hAnsi="Calibri"/>
          <w:color w:val="222222"/>
          <w:sz w:val="21"/>
          <w:szCs w:val="21"/>
        </w:rPr>
        <w:t xml:space="preserve">Under Erhvervslejeloven §13 either party can generally demand adjustment toward market rent, subject to notice and procedure, and this is hard to contract away against the tenant. A flat "no decrease" may be partly unenforceable.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Cross-reference how indexation interacts with any §13 market-rent adjustment, and reconsider the absolute "no decrease" wording.</w:t>
      </w:r>
    </w:p>
    <w:p>
      <w:pPr>
        <w:spacing w:after="40" w:before="160"/>
      </w:pPr>
      <w:r>
        <w:rPr>
          <w:rFonts w:ascii="Calibri" w:cs="Calibri" w:eastAsia="Calibri" w:hAnsi="Calibri"/>
          <w:b/>
          <w:bCs/>
          <w:color w:val="222222"/>
          <w:sz w:val="21"/>
          <w:szCs w:val="21"/>
        </w:rPr>
        <w:t xml:space="preserve">Landlord termination rights are overstated.</w:t>
      </w:r>
    </w:p>
    <w:p>
      <w:pPr>
        <w:spacing w:after="40"/>
        <w:jc w:val="both"/>
      </w:pPr>
      <w:r>
        <w:rPr>
          <w:rFonts w:ascii="Calibri" w:cs="Calibri" w:eastAsia="Calibri" w:hAnsi="Calibri"/>
          <w:color w:val="222222"/>
          <w:sz w:val="21"/>
          <w:szCs w:val="21"/>
        </w:rPr>
        <w:t xml:space="preserve">The clause lists termination "by mutual agreement / for breach / statutory notice" symmetrically, but Danish law heavily restricts when a landlord may terminate a commercial tenant (limited grounds, notice, and in some cases compensation / godtgørelse to the tenant). It reads as if both sides have equal freedom to terminate, which is not the legal reality for a fixed-term lease.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Rework the termination clause so the landlord's grounds reflect the statutory limits and the tenant's protections / compensation.</w:t>
      </w:r>
    </w:p>
    <w:p>
      <w:pPr>
        <w:spacing w:after="40" w:before="160"/>
      </w:pPr>
      <w:r>
        <w:rPr>
          <w:rFonts w:ascii="Calibri" w:cs="Calibri" w:eastAsia="Calibri" w:hAnsi="Calibri"/>
          <w:b/>
          <w:bCs/>
          <w:color w:val="222222"/>
          <w:sz w:val="21"/>
          <w:szCs w:val="21"/>
        </w:rPr>
        <w:t xml:space="preserve">Maintenance split is too vague.</w:t>
      </w:r>
    </w:p>
    <w:p>
      <w:pPr>
        <w:spacing w:after="40"/>
        <w:jc w:val="both"/>
      </w:pPr>
      <w:r>
        <w:rPr>
          <w:rFonts w:ascii="Calibri" w:cs="Calibri" w:eastAsia="Calibri" w:hAnsi="Calibri"/>
          <w:color w:val="222222"/>
          <w:sz w:val="21"/>
          <w:szCs w:val="21"/>
        </w:rPr>
        <w:t xml:space="preserve">"Internal" versus "structural" leaves large grey areas — windows, technical installations, HVAC, surfaces. Danish leases normally spell out indvendig versus udvendig vedligeholdelse item by item, because disputes turn on specifics.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Replace the two-line split with an itemised allocation of maintenance responsibilities.</w:t>
      </w:r>
    </w:p>
    <w:p>
      <w:pPr>
        <w:spacing w:after="40" w:before="160"/>
      </w:pPr>
      <w:r>
        <w:rPr>
          <w:rFonts w:ascii="Calibri" w:cs="Calibri" w:eastAsia="Calibri" w:hAnsi="Calibri"/>
          <w:b/>
          <w:bCs/>
          <w:color w:val="222222"/>
          <w:sz w:val="21"/>
          <w:szCs w:val="21"/>
        </w:rPr>
        <w:t xml:space="preserve">No handover or move-out mechanics.</w:t>
      </w:r>
    </w:p>
    <w:p>
      <w:pPr>
        <w:spacing w:after="40"/>
        <w:jc w:val="both"/>
      </w:pPr>
      <w:r>
        <w:rPr>
          <w:rFonts w:ascii="Calibri" w:cs="Calibri" w:eastAsia="Calibri" w:hAnsi="Calibri"/>
          <w:color w:val="222222"/>
          <w:sz w:val="21"/>
          <w:szCs w:val="21"/>
        </w:rPr>
        <w:t xml:space="preserve">There is no move-in inspection report, and "good condition, subject to normal wear and tear" does not address whether the Tenant must reinstate its alterations or the exit-inspection process — where end-of-lease disputes concentrate.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move-in / move-out inspection report requirement and a clear reinstatement obligation.</w:t>
      </w:r>
    </w:p>
    <w:p>
      <w:pPr>
        <w:spacing w:after="40" w:before="160"/>
      </w:pPr>
      <w:r>
        <w:rPr>
          <w:rFonts w:ascii="Calibri" w:cs="Calibri" w:eastAsia="Calibri" w:hAnsi="Calibri"/>
          <w:b/>
          <w:bCs/>
          <w:color w:val="222222"/>
          <w:sz w:val="21"/>
          <w:szCs w:val="21"/>
        </w:rPr>
        <w:t xml:space="preserve">Force majeure and signature block.</w:t>
      </w:r>
    </w:p>
    <w:p>
      <w:pPr>
        <w:spacing w:after="40"/>
        <w:jc w:val="both"/>
      </w:pPr>
      <w:r>
        <w:rPr>
          <w:rFonts w:ascii="Calibri" w:cs="Calibri" w:eastAsia="Calibri" w:hAnsi="Calibri"/>
          <w:color w:val="222222"/>
          <w:sz w:val="21"/>
          <w:szCs w:val="21"/>
        </w:rPr>
        <w:t xml:space="preserve">Force majeure does not carve out the payment of rent, so a tenant could argue it excuses rent; payment obligations are normally excluded. The execution clause references electronic signature but there is no actual signature block (names, titles, authority, place, date).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Exclude payment obligations from force majeure and add a proper signature block.</w:t>
      </w:r>
    </w:p>
    <w:p>
      <w:r>
        <w:br w:type="page"/>
      </w:r>
    </w:p>
    <w:p>
      <w:pPr>
        <w:pStyle w:val="Heading1"/>
        <w:spacing w:after="40" w:before="60"/>
      </w:pPr>
      <w:r>
        <w:rPr>
          <w:rFonts w:ascii="Calibri" w:cs="Calibri" w:eastAsia="Calibri" w:hAnsi="Calibri"/>
          <w:b/>
          <w:bCs/>
          <w:color w:val="1F3864"/>
          <w:sz w:val="32"/>
          <w:szCs w:val="32"/>
        </w:rPr>
        <w:t xml:space="preserve">Employment &amp; Engagement</w:t>
      </w:r>
    </w:p>
    <w:p>
      <w:pPr>
        <w:pBdr>
          <w:bottom w:val="single" w:color="2E5AAC" w:sz="12" w:space="6"/>
        </w:pBdr>
        <w:spacing w:after="160"/>
      </w:pPr>
    </w:p>
    <w:p>
      <w:pPr>
        <w:pStyle w:val="Heading2"/>
        <w:spacing w:after="20" w:before="180"/>
      </w:pPr>
      <w:r>
        <w:rPr>
          <w:rFonts w:ascii="Calibri" w:cs="Calibri" w:eastAsia="Calibri" w:hAnsi="Calibri"/>
          <w:b/>
          <w:bCs/>
          <w:color w:val="2E5AAC"/>
          <w:sz w:val="26"/>
          <w:szCs w:val="26"/>
        </w:rPr>
        <w:t xml:space="preserve">Employment Agreement (Fixed Payment)</w:t>
      </w:r>
    </w:p>
    <w:p>
      <w:pPr>
        <w:spacing w:after="60"/>
      </w:pPr>
      <w:r>
        <w:rPr>
          <w:rFonts w:ascii="Calibri" w:cs="Calibri" w:eastAsia="Calibri" w:hAnsi="Calibri"/>
          <w:i/>
          <w:iCs/>
          <w:color w:val="595959"/>
          <w:sz w:val="18"/>
          <w:szCs w:val="18"/>
        </w:rPr>
        <w:t xml:space="preserve">EMPLOYMENT_AGREEMENT_FIXED_PAYMENT_MASTER_EN.md</w:t>
      </w:r>
    </w:p>
    <w:p>
      <w:pPr>
        <w:spacing w:after="40" w:before="160"/>
      </w:pPr>
      <w:r>
        <w:rPr>
          <w:rFonts w:ascii="Calibri" w:cs="Calibri" w:eastAsia="Calibri" w:hAnsi="Calibri"/>
          <w:b/>
          <w:bCs/>
          <w:color w:val="222222"/>
          <w:sz w:val="21"/>
          <w:szCs w:val="21"/>
        </w:rPr>
        <w:t xml:space="preserve">Notice periods are unprotected against the Funktionærloven floor.</w:t>
      </w:r>
    </w:p>
    <w:p>
      <w:pPr>
        <w:spacing w:after="40"/>
        <w:jc w:val="both"/>
      </w:pPr>
      <w:r>
        <w:rPr>
          <w:rFonts w:ascii="Calibri" w:cs="Calibri" w:eastAsia="Calibri" w:hAnsi="Calibri"/>
          <w:color w:val="222222"/>
          <w:sz w:val="21"/>
          <w:szCs w:val="21"/>
        </w:rPr>
        <w:t xml:space="preserve">Notice is left as blank fill-ins with no reference to the mandatory minimum scale under Funktionærloven §2 (employer notice rising with seniority; employee notice fixed at 1 month), which cannot be reduced to a salaried employee's detriment.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Hard-code the statutory scale as a floor and state that any shorter employer notice inserted is void and replaced by the statutory minimum.</w:t>
      </w:r>
    </w:p>
    <w:p>
      <w:pPr>
        <w:spacing w:after="40" w:before="160"/>
      </w:pPr>
      <w:r>
        <w:rPr>
          <w:rFonts w:ascii="Calibri" w:cs="Calibri" w:eastAsia="Calibri" w:hAnsi="Calibri"/>
          <w:b/>
          <w:bCs/>
          <w:color w:val="222222"/>
          <w:sz w:val="21"/>
          <w:szCs w:val="21"/>
        </w:rPr>
        <w:t xml:space="preserve">No reference to the 2023 written-particulars rules (ansættelsesbevislov).</w:t>
      </w:r>
    </w:p>
    <w:p>
      <w:pPr>
        <w:spacing w:after="40"/>
        <w:jc w:val="both"/>
      </w:pPr>
      <w:r>
        <w:rPr>
          <w:rFonts w:ascii="Calibri" w:cs="Calibri" w:eastAsia="Calibri" w:hAnsi="Calibri"/>
          <w:color w:val="222222"/>
          <w:sz w:val="21"/>
          <w:szCs w:val="21"/>
        </w:rPr>
        <w:t xml:space="preserve">The updated regime implementing the EU Transparent Working Conditions Directive requires specific disclosures (exact notice periods, training entitlement, place-of-work flexibility, applicable collective agreement, issuing deadlines). Leaving fields blank risks breach with compensation exposure.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clause confirming the agreement satisfies the ansættelsesbevislov and ensure no required field is left unfilled at signing.</w:t>
      </w:r>
    </w:p>
    <w:p>
      <w:pPr>
        <w:spacing w:after="40" w:before="160"/>
      </w:pPr>
      <w:r>
        <w:rPr>
          <w:rFonts w:ascii="Calibri" w:cs="Calibri" w:eastAsia="Calibri" w:hAnsi="Calibri"/>
          <w:b/>
          <w:bCs/>
          <w:color w:val="222222"/>
          <w:sz w:val="21"/>
          <w:szCs w:val="21"/>
        </w:rPr>
        <w:t xml:space="preserve">Probation period is uncapped.</w:t>
      </w:r>
    </w:p>
    <w:p>
      <w:pPr>
        <w:spacing w:after="40"/>
        <w:jc w:val="both"/>
      </w:pPr>
      <w:r>
        <w:rPr>
          <w:rFonts w:ascii="Calibri" w:cs="Calibri" w:eastAsia="Calibri" w:hAnsi="Calibri"/>
          <w:color w:val="222222"/>
          <w:sz w:val="21"/>
          <w:szCs w:val="21"/>
        </w:rPr>
        <w:t xml:space="preserve">Any duration and shortened notice is allowed "subject to applicable law," but Funktionærloven §2c caps probation for salaried employees at 3 months with a default 14-day mutual notice.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Cap probation at 3 months and set 14 days as the default notice.</w:t>
      </w:r>
    </w:p>
    <w:p>
      <w:pPr>
        <w:spacing w:after="40" w:before="160"/>
      </w:pPr>
      <w:r>
        <w:rPr>
          <w:rFonts w:ascii="Calibri" w:cs="Calibri" w:eastAsia="Calibri" w:hAnsi="Calibri"/>
          <w:b/>
          <w:bCs/>
          <w:color w:val="222222"/>
          <w:sz w:val="21"/>
          <w:szCs w:val="21"/>
        </w:rPr>
        <w:t xml:space="preserve">Holiday clause omits Ferieloven specifics.</w:t>
      </w:r>
    </w:p>
    <w:p>
      <w:pPr>
        <w:spacing w:after="40"/>
        <w:jc w:val="both"/>
      </w:pPr>
      <w:r>
        <w:rPr>
          <w:rFonts w:ascii="Calibri" w:cs="Calibri" w:eastAsia="Calibri" w:hAnsi="Calibri"/>
          <w:color w:val="222222"/>
          <w:sz w:val="21"/>
          <w:szCs w:val="21"/>
        </w:rPr>
        <w:t xml:space="preserve">The clause only says "in accordance with applicable law," without the 5-week / 25-day entitlement, the concurrent accrual-and-use system, or how untaken holiday is settled at termination.</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the 5-week entitlement explicitly and add a termination-settlement mechanism for accrued but unused holiday.</w:t>
      </w:r>
    </w:p>
    <w:p>
      <w:pPr>
        <w:spacing w:after="40" w:before="160"/>
      </w:pPr>
      <w:r>
        <w:rPr>
          <w:rFonts w:ascii="Calibri" w:cs="Calibri" w:eastAsia="Calibri" w:hAnsi="Calibri"/>
          <w:b/>
          <w:bCs/>
          <w:color w:val="222222"/>
          <w:sz w:val="21"/>
          <w:szCs w:val="21"/>
        </w:rPr>
        <w:t xml:space="preserve">IP assignment ignores non-waivable moral rights.</w:t>
      </w:r>
    </w:p>
    <w:p>
      <w:pPr>
        <w:spacing w:after="40"/>
        <w:jc w:val="both"/>
      </w:pPr>
      <w:r>
        <w:rPr>
          <w:rFonts w:ascii="Calibri" w:cs="Calibri" w:eastAsia="Calibri" w:hAnsi="Calibri"/>
          <w:color w:val="222222"/>
          <w:sz w:val="21"/>
          <w:szCs w:val="21"/>
        </w:rPr>
        <w:t xml:space="preserve">The assignment of "all transferable rights" ignores that authorship / integrity rights under Ophavsretsloven cannot be fully assigned, only waived to the extent necessary for normal use.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Clarify the assignment covers economic rights, with a limited moral-rights waiver to the extent necessary for the Employer's ordinary use.</w:t>
      </w:r>
    </w:p>
    <w:p>
      <w:pPr>
        <w:spacing w:after="40" w:before="160"/>
      </w:pPr>
      <w:r>
        <w:rPr>
          <w:rFonts w:ascii="Calibri" w:cs="Calibri" w:eastAsia="Calibri" w:hAnsi="Calibri"/>
          <w:b/>
          <w:bCs/>
          <w:color w:val="222222"/>
          <w:sz w:val="21"/>
          <w:szCs w:val="21"/>
        </w:rPr>
        <w:t xml:space="preserve">Non-compete / non-solicit schedule lacks mandatory content.</w:t>
      </w:r>
    </w:p>
    <w:p>
      <w:pPr>
        <w:spacing w:after="40"/>
        <w:jc w:val="both"/>
      </w:pPr>
      <w:r>
        <w:rPr>
          <w:rFonts w:ascii="Calibri" w:cs="Calibri" w:eastAsia="Calibri" w:hAnsi="Calibri"/>
          <w:color w:val="222222"/>
          <w:sz w:val="21"/>
          <w:szCs w:val="21"/>
        </w:rPr>
        <w:t xml:space="preserve">Duration and compensation are left open with no reference to the Danish Act on Employment Clauses — the 12-month maximum, the position-of-special-trust requirement, and the customer-clause 12-month look-back.</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Build these mandatory conditions directly into the schedule rather than deferring to "applicable law."</w:t>
      </w:r>
    </w:p>
    <w:p>
      <w:pPr>
        <w:pStyle w:val="Heading2"/>
        <w:spacing w:after="20" w:before="180"/>
      </w:pPr>
      <w:r>
        <w:rPr>
          <w:rFonts w:ascii="Calibri" w:cs="Calibri" w:eastAsia="Calibri" w:hAnsi="Calibri"/>
          <w:b/>
          <w:bCs/>
          <w:color w:val="2E5AAC"/>
          <w:sz w:val="26"/>
          <w:szCs w:val="26"/>
        </w:rPr>
        <w:t xml:space="preserve">Employment Agreement (Hourly Paid)</w:t>
      </w:r>
    </w:p>
    <w:p>
      <w:pPr>
        <w:spacing w:after="60"/>
      </w:pPr>
      <w:r>
        <w:rPr>
          <w:rFonts w:ascii="Calibri" w:cs="Calibri" w:eastAsia="Calibri" w:hAnsi="Calibri"/>
          <w:i/>
          <w:iCs/>
          <w:color w:val="595959"/>
          <w:sz w:val="18"/>
          <w:szCs w:val="18"/>
        </w:rPr>
        <w:t xml:space="preserve">EMPLOYMENT_AGREEMENT_HOURLY_MASTER_EN.md</w:t>
      </w:r>
    </w:p>
    <w:p>
      <w:pPr>
        <w:spacing w:after="40" w:before="160"/>
      </w:pPr>
      <w:r>
        <w:rPr>
          <w:rFonts w:ascii="Calibri" w:cs="Calibri" w:eastAsia="Calibri" w:hAnsi="Calibri"/>
          <w:b/>
          <w:bCs/>
          <w:color w:val="222222"/>
          <w:sz w:val="21"/>
          <w:szCs w:val="21"/>
        </w:rPr>
        <w:t xml:space="preserve">Employment status (funktionær or not) is not classified.</w:t>
      </w:r>
    </w:p>
    <w:p>
      <w:pPr>
        <w:spacing w:after="40"/>
        <w:jc w:val="both"/>
      </w:pPr>
      <w:r>
        <w:rPr>
          <w:rFonts w:ascii="Calibri" w:cs="Calibri" w:eastAsia="Calibri" w:hAnsi="Calibri"/>
          <w:color w:val="222222"/>
          <w:sz w:val="21"/>
          <w:szCs w:val="21"/>
        </w:rPr>
        <w:t xml:space="preserve">A single uniform notice figure does not address whether the employee qualifies as a funktionær, which triggers the escalating employer-notice scale and changes the minimum notice.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classification clause and cross-reference the correct statutory notice floor depending on status.</w:t>
      </w:r>
    </w:p>
    <w:p>
      <w:pPr>
        <w:spacing w:after="40" w:before="160"/>
      </w:pPr>
      <w:r>
        <w:rPr>
          <w:rFonts w:ascii="Calibri" w:cs="Calibri" w:eastAsia="Calibri" w:hAnsi="Calibri"/>
          <w:b/>
          <w:bCs/>
          <w:color w:val="222222"/>
          <w:sz w:val="21"/>
          <w:szCs w:val="21"/>
        </w:rPr>
        <w:t xml:space="preserve">Variable-hours disclosure duties are missing.</w:t>
      </w:r>
    </w:p>
    <w:p>
      <w:pPr>
        <w:spacing w:after="40"/>
        <w:jc w:val="both"/>
      </w:pPr>
      <w:r>
        <w:rPr>
          <w:rFonts w:ascii="Calibri" w:cs="Calibri" w:eastAsia="Calibri" w:hAnsi="Calibri"/>
          <w:color w:val="222222"/>
          <w:sz w:val="21"/>
          <w:szCs w:val="21"/>
        </w:rPr>
        <w:t xml:space="preserve">The 2023 transparency rules impose specific disclosures for employees without fixed hours (reference hours / days, minimum advance notice of an assignment, rules on late cancellation of shifts).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clause specifying reference hours / days and minimum notice for shift assignment and cancellation.</w:t>
      </w:r>
    </w:p>
    <w:p>
      <w:pPr>
        <w:spacing w:after="40" w:before="160"/>
      </w:pPr>
      <w:r>
        <w:rPr>
          <w:rFonts w:ascii="Calibri" w:cs="Calibri" w:eastAsia="Calibri" w:hAnsi="Calibri"/>
          <w:b/>
          <w:bCs/>
          <w:color w:val="222222"/>
          <w:sz w:val="21"/>
          <w:szCs w:val="21"/>
        </w:rPr>
        <w:t xml:space="preserve">Holiday supplement mechanic for hourly staff is not reflected.</w:t>
      </w:r>
    </w:p>
    <w:p>
      <w:pPr>
        <w:spacing w:after="40"/>
        <w:jc w:val="both"/>
      </w:pPr>
      <w:r>
        <w:rPr>
          <w:rFonts w:ascii="Calibri" w:cs="Calibri" w:eastAsia="Calibri" w:hAnsi="Calibri"/>
          <w:color w:val="222222"/>
          <w:sz w:val="21"/>
          <w:szCs w:val="21"/>
        </w:rPr>
        <w:t xml:space="preserve">Hourly-paid staff generally accrue a 12.5% holiday supplement (feriegodtgørelse) rather than simple "paid holiday," but the clause is silent.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Specify that holiday pay is calculated as 12.5% of wages under Ferieloven.</w:t>
      </w:r>
    </w:p>
    <w:p>
      <w:pPr>
        <w:spacing w:after="40" w:before="160"/>
      </w:pPr>
      <w:r>
        <w:rPr>
          <w:rFonts w:ascii="Calibri" w:cs="Calibri" w:eastAsia="Calibri" w:hAnsi="Calibri"/>
          <w:b/>
          <w:bCs/>
          <w:color w:val="222222"/>
          <w:sz w:val="21"/>
          <w:szCs w:val="21"/>
        </w:rPr>
        <w:t xml:space="preserve">Wage deductions lack a legal boundary.</w:t>
      </w:r>
    </w:p>
    <w:p>
      <w:pPr>
        <w:spacing w:after="40"/>
        <w:jc w:val="both"/>
      </w:pPr>
      <w:r>
        <w:rPr>
          <w:rFonts w:ascii="Calibri" w:cs="Calibri" w:eastAsia="Calibri" w:hAnsi="Calibri"/>
          <w:color w:val="222222"/>
          <w:sz w:val="21"/>
          <w:szCs w:val="21"/>
        </w:rPr>
        <w:t xml:space="preserve">Deductions for unauthorised absence are allowed without limiting them to documented, proportionate loss; unilateral deductions beyond actual loss are legally constrained.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Limit deductions to the pay for hours not worked, evidenced and notified in advance per a written policy.</w:t>
      </w:r>
    </w:p>
    <w:p>
      <w:pPr>
        <w:spacing w:after="40" w:before="160"/>
      </w:pPr>
      <w:r>
        <w:rPr>
          <w:rFonts w:ascii="Calibri" w:cs="Calibri" w:eastAsia="Calibri" w:hAnsi="Calibri"/>
          <w:b/>
          <w:bCs/>
          <w:color w:val="222222"/>
          <w:sz w:val="21"/>
          <w:szCs w:val="21"/>
        </w:rPr>
        <w:t xml:space="preserve">Data-protection clause too generic for CPR numbers.</w:t>
      </w:r>
    </w:p>
    <w:p>
      <w:pPr>
        <w:spacing w:after="40"/>
        <w:jc w:val="both"/>
      </w:pPr>
      <w:r>
        <w:rPr>
          <w:rFonts w:ascii="Calibri" w:cs="Calibri" w:eastAsia="Calibri" w:hAnsi="Calibri"/>
          <w:color w:val="222222"/>
          <w:sz w:val="21"/>
          <w:szCs w:val="21"/>
        </w:rPr>
        <w:t xml:space="preserve">A broad reference to "applicable data protection laws" ignores that processing a CPR number needs a specific basis under the Danish Data Protection Act (Databeskyttelsesloven), not just GDPR generally.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reference to the Databeskyttelsesloven basis for CPR-number processing.</w:t>
      </w:r>
    </w:p>
    <w:p>
      <w:pPr>
        <w:pStyle w:val="Heading2"/>
        <w:spacing w:after="20" w:before="180"/>
      </w:pPr>
      <w:r>
        <w:rPr>
          <w:rFonts w:ascii="Calibri" w:cs="Calibri" w:eastAsia="Calibri" w:hAnsi="Calibri"/>
          <w:b/>
          <w:bCs/>
          <w:color w:val="2E5AAC"/>
          <w:sz w:val="26"/>
          <w:szCs w:val="26"/>
        </w:rPr>
        <w:t xml:space="preserve">Employment Agreement (Salaried, Fixed Term)</w:t>
      </w:r>
    </w:p>
    <w:p>
      <w:pPr>
        <w:spacing w:after="60"/>
      </w:pPr>
      <w:r>
        <w:rPr>
          <w:rFonts w:ascii="Calibri" w:cs="Calibri" w:eastAsia="Calibri" w:hAnsi="Calibri"/>
          <w:i/>
          <w:iCs/>
          <w:color w:val="595959"/>
          <w:sz w:val="18"/>
          <w:szCs w:val="18"/>
        </w:rPr>
        <w:t xml:space="preserve">EMPLOYMENT_AGREEMENT_SALARIED_FIXED_TERM_MASTER_EN.md</w:t>
      </w:r>
    </w:p>
    <w:p>
      <w:pPr>
        <w:spacing w:after="40" w:before="160"/>
      </w:pPr>
      <w:r>
        <w:rPr>
          <w:rFonts w:ascii="Calibri" w:cs="Calibri" w:eastAsia="Calibri" w:hAnsi="Calibri"/>
          <w:b/>
          <w:bCs/>
          <w:color w:val="222222"/>
          <w:sz w:val="21"/>
          <w:szCs w:val="21"/>
        </w:rPr>
        <w:t xml:space="preserve">Successive fixed terms and non-discrimination unaddressed.</w:t>
      </w:r>
    </w:p>
    <w:p>
      <w:pPr>
        <w:spacing w:after="40"/>
        <w:jc w:val="both"/>
      </w:pPr>
      <w:r>
        <w:rPr>
          <w:rFonts w:ascii="Calibri" w:cs="Calibri" w:eastAsia="Calibri" w:hAnsi="Calibri"/>
          <w:color w:val="222222"/>
          <w:sz w:val="21"/>
          <w:szCs w:val="21"/>
        </w:rPr>
        <w:t xml:space="preserve">The clauses gesture at conversion "in accordance with applicable law" but do not reflect the Fixed-Term Employees Act: no objective-justification requirement for renewals, and no equal-treatment principle versus permanent staff.</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clause requiring objective justification for successive renewals and confirming equal treatment with comparable permanent employees.</w:t>
      </w:r>
    </w:p>
    <w:p>
      <w:pPr>
        <w:spacing w:after="40" w:before="160"/>
      </w:pPr>
      <w:r>
        <w:rPr>
          <w:rFonts w:ascii="Calibri" w:cs="Calibri" w:eastAsia="Calibri" w:hAnsi="Calibri"/>
          <w:b/>
          <w:bCs/>
          <w:color w:val="222222"/>
          <w:sz w:val="21"/>
          <w:szCs w:val="21"/>
        </w:rPr>
        <w:t xml:space="preserve">Notice-period floor is unprotected.</w:t>
      </w:r>
    </w:p>
    <w:p>
      <w:pPr>
        <w:spacing w:after="40"/>
        <w:jc w:val="both"/>
      </w:pPr>
      <w:r>
        <w:rPr>
          <w:rFonts w:ascii="Calibri" w:cs="Calibri" w:eastAsia="Calibri" w:hAnsi="Calibri"/>
          <w:color w:val="222222"/>
          <w:sz w:val="21"/>
          <w:szCs w:val="21"/>
        </w:rPr>
        <w:t xml:space="preserve">The blank notice fields have no statutory floor tied to Funktionærloven §2.</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Hard-code the mandatory notice scale as a minimum.</w:t>
      </w:r>
    </w:p>
    <w:p>
      <w:pPr>
        <w:spacing w:after="40" w:before="160"/>
      </w:pPr>
      <w:r>
        <w:rPr>
          <w:rFonts w:ascii="Calibri" w:cs="Calibri" w:eastAsia="Calibri" w:hAnsi="Calibri"/>
          <w:b/>
          <w:bCs/>
          <w:color w:val="222222"/>
          <w:sz w:val="21"/>
          <w:szCs w:val="21"/>
        </w:rPr>
        <w:t xml:space="preserve">Early termination during a fixed term is ambiguous.</w:t>
      </w:r>
    </w:p>
    <w:p>
      <w:pPr>
        <w:spacing w:after="40"/>
        <w:jc w:val="both"/>
      </w:pPr>
      <w:r>
        <w:rPr>
          <w:rFonts w:ascii="Calibri" w:cs="Calibri" w:eastAsia="Calibri" w:hAnsi="Calibri"/>
          <w:color w:val="222222"/>
          <w:sz w:val="21"/>
          <w:szCs w:val="21"/>
        </w:rPr>
        <w:t xml:space="preserve">The clause permits either party to terminate early on notice, but Danish fixed-term contracts are generally binding for their stated duration unless an early-termination right is expressly built in.</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Clarify explicitly whether early termination by notice is available throughout the term, to avoid a wrongful-early-termination dispute over the unexpired term.</w:t>
      </w:r>
    </w:p>
    <w:p>
      <w:pPr>
        <w:spacing w:after="40" w:before="160"/>
      </w:pPr>
      <w:r>
        <w:rPr>
          <w:rFonts w:ascii="Calibri" w:cs="Calibri" w:eastAsia="Calibri" w:hAnsi="Calibri"/>
          <w:b/>
          <w:bCs/>
          <w:color w:val="222222"/>
          <w:sz w:val="21"/>
          <w:szCs w:val="21"/>
        </w:rPr>
        <w:t xml:space="preserve">Benefits equal-treatment clause is vague.</w:t>
      </w:r>
    </w:p>
    <w:p>
      <w:pPr>
        <w:spacing w:after="40"/>
        <w:jc w:val="both"/>
      </w:pPr>
      <w:r>
        <w:rPr>
          <w:rFonts w:ascii="Calibri" w:cs="Calibri" w:eastAsia="Calibri" w:hAnsi="Calibri"/>
          <w:color w:val="222222"/>
          <w:sz w:val="21"/>
          <w:szCs w:val="21"/>
        </w:rPr>
        <w:t xml:space="preserve">Benefits "equivalent to comparable permanent employees unless otherwise permitted by law" does not cite the non-discrimination standard from the Fixed-Term Employees Act.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Reference that standard directly rather than a generic carve-out.</w:t>
      </w:r>
    </w:p>
    <w:p>
      <w:pPr>
        <w:spacing w:after="40" w:before="160"/>
      </w:pPr>
      <w:r>
        <w:rPr>
          <w:rFonts w:ascii="Calibri" w:cs="Calibri" w:eastAsia="Calibri" w:hAnsi="Calibri"/>
          <w:b/>
          <w:bCs/>
          <w:color w:val="222222"/>
          <w:sz w:val="21"/>
          <w:szCs w:val="21"/>
        </w:rPr>
        <w:t xml:space="preserve">Non-compete / non-solicit gaps.</w:t>
      </w:r>
    </w:p>
    <w:p>
      <w:pPr>
        <w:spacing w:after="40"/>
        <w:jc w:val="both"/>
      </w:pPr>
      <w:r>
        <w:rPr>
          <w:rFonts w:ascii="Calibri" w:cs="Calibri" w:eastAsia="Calibri" w:hAnsi="Calibri"/>
          <w:color w:val="222222"/>
          <w:sz w:val="21"/>
          <w:szCs w:val="21"/>
        </w:rPr>
        <w:t xml:space="preserve">Same gaps as the Fixed Payment template — no 12-month cap, no position-of-trust condition, no 12-month customer look-back.</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Mirror the fix recommended for the Fixed Payment template.</w:t>
      </w:r>
    </w:p>
    <w:p>
      <w:pPr>
        <w:pStyle w:val="Heading2"/>
        <w:spacing w:after="20" w:before="180"/>
      </w:pPr>
      <w:r>
        <w:rPr>
          <w:rFonts w:ascii="Calibri" w:cs="Calibri" w:eastAsia="Calibri" w:hAnsi="Calibri"/>
          <w:b/>
          <w:bCs/>
          <w:color w:val="2E5AAC"/>
          <w:sz w:val="26"/>
          <w:szCs w:val="26"/>
        </w:rPr>
        <w:t xml:space="preserve">Offer Letter</w:t>
      </w:r>
    </w:p>
    <w:p>
      <w:pPr>
        <w:spacing w:after="60"/>
      </w:pPr>
      <w:r>
        <w:rPr>
          <w:rFonts w:ascii="Calibri" w:cs="Calibri" w:eastAsia="Calibri" w:hAnsi="Calibri"/>
          <w:i/>
          <w:iCs/>
          <w:color w:val="595959"/>
          <w:sz w:val="18"/>
          <w:szCs w:val="18"/>
        </w:rPr>
        <w:t xml:space="preserve">OFFER_LETTER_MASTER_EN.md</w:t>
      </w:r>
    </w:p>
    <w:p>
      <w:pPr>
        <w:spacing w:after="40" w:before="160"/>
      </w:pPr>
      <w:r>
        <w:rPr>
          <w:rFonts w:ascii="Calibri" w:cs="Calibri" w:eastAsia="Calibri" w:hAnsi="Calibri"/>
          <w:b/>
          <w:bCs/>
          <w:color w:val="222222"/>
          <w:sz w:val="21"/>
          <w:szCs w:val="21"/>
        </w:rPr>
        <w:t xml:space="preserve">"Non-binding" framing conflicts with its offer-and-acceptance structure.</w:t>
      </w:r>
    </w:p>
    <w:p>
      <w:pPr>
        <w:spacing w:after="40"/>
        <w:jc w:val="both"/>
      </w:pPr>
      <w:r>
        <w:rPr>
          <w:rFonts w:ascii="Calibri" w:cs="Calibri" w:eastAsia="Calibri" w:hAnsi="Calibri"/>
          <w:color w:val="222222"/>
          <w:sz w:val="21"/>
          <w:szCs w:val="21"/>
        </w:rPr>
        <w:t xml:space="preserve">The letter disclaims being a full contract, yet specifies salary, position, benefits, probation and holiday and requires written acceptance — which can create a binding preliminary contract or reliance liability (e.g. if the candidate resigns their current job).</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Either state that acceptance creates a binding conditional employment relationship pending the formal agreement, or address reliance / negative-interest damages if the Employer withdraws after acceptance.</w:t>
      </w:r>
    </w:p>
    <w:p>
      <w:pPr>
        <w:spacing w:after="40" w:before="160"/>
      </w:pPr>
      <w:r>
        <w:rPr>
          <w:rFonts w:ascii="Calibri" w:cs="Calibri" w:eastAsia="Calibri" w:hAnsi="Calibri"/>
          <w:b/>
          <w:bCs/>
          <w:color w:val="222222"/>
          <w:sz w:val="21"/>
          <w:szCs w:val="21"/>
        </w:rPr>
        <w:t xml:space="preserve">No link to the written-particulars deadlines.</w:t>
      </w:r>
    </w:p>
    <w:p>
      <w:pPr>
        <w:spacing w:after="40"/>
        <w:jc w:val="both"/>
      </w:pPr>
      <w:r>
        <w:rPr>
          <w:rFonts w:ascii="Calibri" w:cs="Calibri" w:eastAsia="Calibri" w:hAnsi="Calibri"/>
          <w:color w:val="222222"/>
          <w:sz w:val="21"/>
          <w:szCs w:val="21"/>
        </w:rPr>
        <w:t xml:space="preserve">The letter contains only partial terms and does not commit the Employer to issuing the full statutory written particulars within the 2023 Act's deadlines once employment starts.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clause confirming a compliant written statement (or the Employment Agreement) will be issued within the statutory timeframes.</w:t>
      </w:r>
    </w:p>
    <w:p>
      <w:pPr>
        <w:spacing w:after="40" w:before="160"/>
      </w:pPr>
      <w:r>
        <w:rPr>
          <w:rFonts w:ascii="Calibri" w:cs="Calibri" w:eastAsia="Calibri" w:hAnsi="Calibri"/>
          <w:b/>
          <w:bCs/>
          <w:color w:val="222222"/>
          <w:sz w:val="21"/>
          <w:szCs w:val="21"/>
        </w:rPr>
        <w:t xml:space="preserve">Probation clause is uncapped.</w:t>
      </w:r>
    </w:p>
    <w:p>
      <w:pPr>
        <w:spacing w:after="40"/>
        <w:jc w:val="both"/>
      </w:pPr>
      <w:r>
        <w:rPr>
          <w:rFonts w:ascii="Calibri" w:cs="Calibri" w:eastAsia="Calibri" w:hAnsi="Calibri"/>
          <w:color w:val="222222"/>
          <w:sz w:val="21"/>
          <w:szCs w:val="21"/>
        </w:rPr>
        <w:t xml:space="preserve">Any probation length with "shorter notice in accordance with applicable law" does not state the Funktionærloven §2c 3-month cap and 14-day default notice.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the cap and default notice explicitly.</w:t>
      </w:r>
    </w:p>
    <w:p>
      <w:pPr>
        <w:spacing w:after="40" w:before="160"/>
      </w:pPr>
      <w:r>
        <w:rPr>
          <w:rFonts w:ascii="Calibri" w:cs="Calibri" w:eastAsia="Calibri" w:hAnsi="Calibri"/>
          <w:b/>
          <w:bCs/>
          <w:color w:val="222222"/>
          <w:sz w:val="21"/>
          <w:szCs w:val="21"/>
        </w:rPr>
        <w:t xml:space="preserve">Background-check conditions lack a GDPR basis and time limit.</w:t>
      </w:r>
    </w:p>
    <w:p>
      <w:pPr>
        <w:spacing w:after="40"/>
        <w:jc w:val="both"/>
      </w:pPr>
      <w:r>
        <w:rPr>
          <w:rFonts w:ascii="Calibri" w:cs="Calibri" w:eastAsia="Calibri" w:hAnsi="Calibri"/>
          <w:color w:val="222222"/>
          <w:sz w:val="21"/>
          <w:szCs w:val="21"/>
        </w:rPr>
        <w:t xml:space="preserve">Withdrawal is permitted if reference / right-to-work conditions are not met, without identifying the legal basis for processing that data or a deadline to act after conditions are satisfied.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GDPR legal-basis reference and a reasonable time limit to confirm or withdraw.</w:t>
      </w:r>
    </w:p>
    <w:p>
      <w:pPr>
        <w:pStyle w:val="Heading2"/>
        <w:spacing w:after="20" w:before="180"/>
      </w:pPr>
      <w:r>
        <w:rPr>
          <w:rFonts w:ascii="Calibri" w:cs="Calibri" w:eastAsia="Calibri" w:hAnsi="Calibri"/>
          <w:b/>
          <w:bCs/>
          <w:color w:val="2E5AAC"/>
          <w:sz w:val="26"/>
          <w:szCs w:val="26"/>
        </w:rPr>
        <w:t xml:space="preserve">Employee Separation Agreement</w:t>
      </w:r>
    </w:p>
    <w:p>
      <w:pPr>
        <w:spacing w:after="60"/>
      </w:pPr>
      <w:r>
        <w:rPr>
          <w:rFonts w:ascii="Calibri" w:cs="Calibri" w:eastAsia="Calibri" w:hAnsi="Calibri"/>
          <w:i/>
          <w:iCs/>
          <w:color w:val="595959"/>
          <w:sz w:val="18"/>
          <w:szCs w:val="18"/>
        </w:rPr>
        <w:t xml:space="preserve">EMPLOYEE_SEPARATION_AGREEMENT_MASTER_EN.md</w:t>
      </w:r>
    </w:p>
    <w:p>
      <w:pPr>
        <w:spacing w:after="40" w:before="160"/>
      </w:pPr>
      <w:r>
        <w:rPr>
          <w:rFonts w:ascii="Calibri" w:cs="Calibri" w:eastAsia="Calibri" w:hAnsi="Calibri"/>
          <w:b/>
          <w:bCs/>
          <w:color w:val="222222"/>
          <w:sz w:val="21"/>
          <w:szCs w:val="21"/>
        </w:rPr>
        <w:t xml:space="preserve">Release of claims omits categories that are effectively unwaivable.</w:t>
      </w:r>
    </w:p>
    <w:p>
      <w:pPr>
        <w:spacing w:after="40"/>
        <w:jc w:val="both"/>
      </w:pPr>
      <w:r>
        <w:rPr>
          <w:rFonts w:ascii="Calibri" w:cs="Calibri" w:eastAsia="Calibri" w:hAnsi="Calibri"/>
          <w:color w:val="222222"/>
          <w:sz w:val="21"/>
          <w:szCs w:val="21"/>
        </w:rPr>
        <w:t xml:space="preserve">The generic "does not waive non-waivable claims" does not name the two most important carve-outs: accrued but unpaid holiday pay (which under Ferieloven must be paid or transferred, not released) and whistleblower reporting rights.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Explicitly exclude accrued holiday-pay settlement and whistleblower rights, and limit the release to claims existing and known at signing.</w:t>
      </w:r>
    </w:p>
    <w:p>
      <w:pPr>
        <w:spacing w:after="40" w:before="160"/>
      </w:pPr>
      <w:r>
        <w:rPr>
          <w:rFonts w:ascii="Calibri" w:cs="Calibri" w:eastAsia="Calibri" w:hAnsi="Calibri"/>
          <w:b/>
          <w:bCs/>
          <w:color w:val="222222"/>
          <w:sz w:val="21"/>
          <w:szCs w:val="21"/>
        </w:rPr>
        <w:t xml:space="preserve">No recital evidencing informed, voluntary consent.</w:t>
      </w:r>
    </w:p>
    <w:p>
      <w:pPr>
        <w:spacing w:after="40"/>
        <w:jc w:val="both"/>
      </w:pPr>
      <w:r>
        <w:rPr>
          <w:rFonts w:ascii="Calibri" w:cs="Calibri" w:eastAsia="Calibri" w:hAnsi="Calibri"/>
          <w:color w:val="222222"/>
          <w:sz w:val="21"/>
          <w:szCs w:val="21"/>
        </w:rPr>
        <w:t xml:space="preserve">Danish courts scrutinise broad releases (especially of discrimination / equal-treatment claims) more critically absent evidence the employee had a genuine chance for independent advice.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recital confirming reasonable time and opportunity to seek legal advice, ideally with a contribution to legal fees.</w:t>
      </w:r>
    </w:p>
    <w:p>
      <w:pPr>
        <w:spacing w:after="40" w:before="160"/>
      </w:pPr>
      <w:r>
        <w:rPr>
          <w:rFonts w:ascii="Calibri" w:cs="Calibri" w:eastAsia="Calibri" w:hAnsi="Calibri"/>
          <w:b/>
          <w:bCs/>
          <w:color w:val="222222"/>
          <w:sz w:val="21"/>
          <w:szCs w:val="21"/>
        </w:rPr>
        <w:t xml:space="preserve">Severance is not itemised for tax.</w:t>
      </w:r>
    </w:p>
    <w:p>
      <w:pPr>
        <w:spacing w:after="40"/>
        <w:jc w:val="both"/>
      </w:pPr>
      <w:r>
        <w:rPr>
          <w:rFonts w:ascii="Calibri" w:cs="Calibri" w:eastAsia="Calibri" w:hAnsi="Calibri"/>
          <w:color w:val="222222"/>
          <w:sz w:val="21"/>
          <w:szCs w:val="21"/>
        </w:rPr>
        <w:t xml:space="preserve">The severance is one lump figure, but Danish tax treats ordinary severance, holiday pay and restrictive-covenant compensation differently.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Require the payment to be broken down by category so correct withholding applies.</w:t>
      </w:r>
    </w:p>
    <w:p>
      <w:pPr>
        <w:spacing w:after="40" w:before="160"/>
      </w:pPr>
      <w:r>
        <w:rPr>
          <w:rFonts w:ascii="Calibri" w:cs="Calibri" w:eastAsia="Calibri" w:hAnsi="Calibri"/>
          <w:b/>
          <w:bCs/>
          <w:color w:val="222222"/>
          <w:sz w:val="21"/>
          <w:szCs w:val="21"/>
        </w:rPr>
        <w:t xml:space="preserve">No election on a pre-existing restrictive covenant.</w:t>
      </w:r>
    </w:p>
    <w:p>
      <w:pPr>
        <w:spacing w:after="40"/>
        <w:jc w:val="both"/>
      </w:pPr>
      <w:r>
        <w:rPr>
          <w:rFonts w:ascii="Calibri" w:cs="Calibri" w:eastAsia="Calibri" w:hAnsi="Calibri"/>
          <w:color w:val="222222"/>
          <w:sz w:val="21"/>
          <w:szCs w:val="21"/>
        </w:rPr>
        <w:t xml:space="preserve">The clause only covers voluntary waiver, but under the Act on Employment Clauses an employer-initiated termination causes a restriction to lapse automatically unless the employer confirms in writing within a short deadline that it wishes to keep it (triggering enhanced compensation).</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election clause requiring the Employer to state, within the deadline, whether it is maintaining any restriction.</w:t>
      </w:r>
    </w:p>
    <w:p>
      <w:pPr>
        <w:pStyle w:val="Heading2"/>
        <w:spacing w:after="20" w:before="180"/>
      </w:pPr>
      <w:r>
        <w:rPr>
          <w:rFonts w:ascii="Calibri" w:cs="Calibri" w:eastAsia="Calibri" w:hAnsi="Calibri"/>
          <w:b/>
          <w:bCs/>
          <w:color w:val="2E5AAC"/>
          <w:sz w:val="26"/>
          <w:szCs w:val="26"/>
        </w:rPr>
        <w:t xml:space="preserve">Freelance Agreement</w:t>
      </w:r>
    </w:p>
    <w:p>
      <w:pPr>
        <w:spacing w:after="60"/>
      </w:pPr>
      <w:r>
        <w:rPr>
          <w:rFonts w:ascii="Calibri" w:cs="Calibri" w:eastAsia="Calibri" w:hAnsi="Calibri"/>
          <w:i/>
          <w:iCs/>
          <w:color w:val="595959"/>
          <w:sz w:val="18"/>
          <w:szCs w:val="18"/>
        </w:rPr>
        <w:t xml:space="preserve">FREELANCE_AGREEMENT_MASTER_EN.md</w:t>
      </w:r>
    </w:p>
    <w:p>
      <w:pPr>
        <w:spacing w:after="40" w:before="160"/>
      </w:pPr>
      <w:r>
        <w:rPr>
          <w:rFonts w:ascii="Calibri" w:cs="Calibri" w:eastAsia="Calibri" w:hAnsi="Calibri"/>
          <w:b/>
          <w:bCs/>
          <w:color w:val="222222"/>
          <w:sz w:val="21"/>
          <w:szCs w:val="21"/>
        </w:rPr>
        <w:t xml:space="preserve">Independent-contractor status is asserted, not evidenced.</w:t>
      </w:r>
    </w:p>
    <w:p>
      <w:pPr>
        <w:spacing w:after="40"/>
        <w:jc w:val="both"/>
      </w:pPr>
      <w:r>
        <w:rPr>
          <w:rFonts w:ascii="Calibri" w:cs="Calibri" w:eastAsia="Calibri" w:hAnsi="Calibri"/>
          <w:color w:val="222222"/>
          <w:sz w:val="21"/>
          <w:szCs w:val="21"/>
        </w:rPr>
        <w:t xml:space="preserve">The status is declared but none of the substantive indicia Danish tax / labour authorities weigh are present (substitution rights, control over hours / method / location, own equipment, multiple clients, genuine economic risk). A mislabelled relationship can be reclassified as employment, exposing the Client to back holiday pay, notice and withholding-tax liability.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concrete indicia clauses (right to substitute, no fixed hours or location control, own equipment, freedom to work for others).</w:t>
      </w:r>
    </w:p>
    <w:p>
      <w:pPr>
        <w:spacing w:after="40" w:before="160"/>
      </w:pPr>
      <w:r>
        <w:rPr>
          <w:rFonts w:ascii="Calibri" w:cs="Calibri" w:eastAsia="Calibri" w:hAnsi="Calibri"/>
          <w:b/>
          <w:bCs/>
          <w:color w:val="222222"/>
          <w:sz w:val="21"/>
          <w:szCs w:val="21"/>
        </w:rPr>
        <w:t xml:space="preserve">IP assignment omits the moral-rights carve-out.</w:t>
      </w:r>
    </w:p>
    <w:p>
      <w:pPr>
        <w:spacing w:after="40"/>
        <w:jc w:val="both"/>
      </w:pPr>
      <w:r>
        <w:rPr>
          <w:rFonts w:ascii="Calibri" w:cs="Calibri" w:eastAsia="Calibri" w:hAnsi="Calibri"/>
          <w:color w:val="222222"/>
          <w:sz w:val="21"/>
          <w:szCs w:val="21"/>
        </w:rPr>
        <w:t xml:space="preserve">"All transferable" rights are assigned without acknowledging that moral rights under Ophavsretsloven cannot be fully assigned.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Clarify the assignment is of economic rights, with moral rights waived only to the extent needed for the Client's intended use.</w:t>
      </w:r>
    </w:p>
    <w:p>
      <w:pPr>
        <w:spacing w:after="40" w:before="160"/>
      </w:pPr>
      <w:r>
        <w:rPr>
          <w:rFonts w:ascii="Calibri" w:cs="Calibri" w:eastAsia="Calibri" w:hAnsi="Calibri"/>
          <w:b/>
          <w:bCs/>
          <w:color w:val="222222"/>
          <w:sz w:val="21"/>
          <w:szCs w:val="21"/>
        </w:rPr>
        <w:t xml:space="preserve">GDPR treatment is deferred rather than resolved.</w:t>
      </w:r>
    </w:p>
    <w:p>
      <w:pPr>
        <w:spacing w:after="40"/>
        <w:jc w:val="both"/>
      </w:pPr>
      <w:r>
        <w:rPr>
          <w:rFonts w:ascii="Calibri" w:cs="Calibri" w:eastAsia="Calibri" w:hAnsi="Calibri"/>
          <w:color w:val="222222"/>
          <w:sz w:val="21"/>
          <w:szCs w:val="21"/>
        </w:rPr>
        <w:t xml:space="preserve">A DPA is promised "where required" but controller / processor roles are not established and no DPA is required before processing begins.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Designate roles explicitly and make execution of a DPA a condition precedent to any personal-data handling.</w:t>
      </w:r>
    </w:p>
    <w:p>
      <w:pPr>
        <w:spacing w:after="40" w:before="160"/>
      </w:pPr>
      <w:r>
        <w:rPr>
          <w:rFonts w:ascii="Calibri" w:cs="Calibri" w:eastAsia="Calibri" w:hAnsi="Calibri"/>
          <w:b/>
          <w:bCs/>
          <w:color w:val="222222"/>
          <w:sz w:val="21"/>
          <w:szCs w:val="21"/>
        </w:rPr>
        <w:t xml:space="preserve">Non-solicitation clause lacks a duration ceiling and basis.</w:t>
      </w:r>
    </w:p>
    <w:p>
      <w:pPr>
        <w:spacing w:after="40"/>
        <w:jc w:val="both"/>
      </w:pPr>
      <w:r>
        <w:rPr>
          <w:rFonts w:ascii="Calibri" w:cs="Calibri" w:eastAsia="Calibri" w:hAnsi="Calibri"/>
          <w:color w:val="222222"/>
          <w:sz w:val="21"/>
          <w:szCs w:val="21"/>
        </w:rPr>
        <w:t xml:space="preserve">The restriction on soliciting employees / customers is open-ended with no anchor to what Danish courts treat as reasonable for a B2B covenant.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Cap the duration at a defensible period (aligned with the 12-month employee benchmark) and state the reasonableness basis.</w:t>
      </w:r>
    </w:p>
    <w:p>
      <w:pPr>
        <w:pStyle w:val="Heading2"/>
        <w:spacing w:after="20" w:before="180"/>
      </w:pPr>
      <w:r>
        <w:rPr>
          <w:rFonts w:ascii="Calibri" w:cs="Calibri" w:eastAsia="Calibri" w:hAnsi="Calibri"/>
          <w:b/>
          <w:bCs/>
          <w:color w:val="2E5AAC"/>
          <w:sz w:val="26"/>
          <w:szCs w:val="26"/>
        </w:rPr>
        <w:t xml:space="preserve">Consulting Agreement</w:t>
      </w:r>
    </w:p>
    <w:p>
      <w:pPr>
        <w:spacing w:after="60"/>
      </w:pPr>
      <w:r>
        <w:rPr>
          <w:rFonts w:ascii="Calibri" w:cs="Calibri" w:eastAsia="Calibri" w:hAnsi="Calibri"/>
          <w:i/>
          <w:iCs/>
          <w:color w:val="595959"/>
          <w:sz w:val="18"/>
          <w:szCs w:val="18"/>
        </w:rPr>
        <w:t xml:space="preserve">CONSULTING_AGREEMENT_MASTER_EN.md</w:t>
      </w:r>
    </w:p>
    <w:p>
      <w:pPr>
        <w:spacing w:after="40" w:before="160"/>
      </w:pPr>
      <w:r>
        <w:rPr>
          <w:rFonts w:ascii="Calibri" w:cs="Calibri" w:eastAsia="Calibri" w:hAnsi="Calibri"/>
          <w:b/>
          <w:bCs/>
          <w:color w:val="222222"/>
          <w:sz w:val="21"/>
          <w:szCs w:val="21"/>
        </w:rPr>
        <w:t xml:space="preserve">Misclassification risk is unaddressed.</w:t>
      </w:r>
    </w:p>
    <w:p>
      <w:pPr>
        <w:spacing w:after="40"/>
        <w:jc w:val="both"/>
      </w:pPr>
      <w:r>
        <w:rPr>
          <w:rFonts w:ascii="Calibri" w:cs="Calibri" w:eastAsia="Calibri" w:hAnsi="Calibri"/>
          <w:color w:val="222222"/>
          <w:sz w:val="21"/>
          <w:szCs w:val="21"/>
        </w:rPr>
        <w:t xml:space="preserve">Independent-contractor status is asserted without the factual indicia that determine status; this matters even where the Consultant contracts through its own company, since authorities can look through single-client economic dependency.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the same indicia clauses recommended for the Freelance Agreement.</w:t>
      </w:r>
    </w:p>
    <w:p>
      <w:pPr>
        <w:spacing w:after="40" w:before="160"/>
      </w:pPr>
      <w:r>
        <w:rPr>
          <w:rFonts w:ascii="Calibri" w:cs="Calibri" w:eastAsia="Calibri" w:hAnsi="Calibri"/>
          <w:b/>
          <w:bCs/>
          <w:color w:val="222222"/>
          <w:sz w:val="21"/>
          <w:szCs w:val="21"/>
        </w:rPr>
        <w:t xml:space="preserve">Indemnity is not reconciled with the liability cap.</w:t>
      </w:r>
    </w:p>
    <w:p>
      <w:pPr>
        <w:spacing w:after="40"/>
        <w:jc w:val="both"/>
      </w:pPr>
      <w:r>
        <w:rPr>
          <w:rFonts w:ascii="Calibri" w:cs="Calibri" w:eastAsia="Calibri" w:hAnsi="Calibri"/>
          <w:color w:val="222222"/>
          <w:sz w:val="21"/>
          <w:szCs w:val="21"/>
        </w:rPr>
        <w:t xml:space="preserve">Total liability is capped at fees paid (except fraud / gross negligence / wilful misconduct), but the IP-infringement / breach indemnity does not say whether it is subject to or carved out of that cap.</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expressly whether the indemnities are subject to, or excluded from, the cap.</w:t>
      </w:r>
    </w:p>
    <w:p>
      <w:pPr>
        <w:spacing w:after="40" w:before="160"/>
      </w:pPr>
      <w:r>
        <w:rPr>
          <w:rFonts w:ascii="Calibri" w:cs="Calibri" w:eastAsia="Calibri" w:hAnsi="Calibri"/>
          <w:b/>
          <w:bCs/>
          <w:color w:val="222222"/>
          <w:sz w:val="21"/>
          <w:szCs w:val="21"/>
        </w:rPr>
        <w:t xml:space="preserve">IP assignment omits the moral-rights carve-out.</w:t>
      </w:r>
    </w:p>
    <w:p>
      <w:pPr>
        <w:spacing w:after="40"/>
        <w:jc w:val="both"/>
      </w:pPr>
      <w:r>
        <w:rPr>
          <w:rFonts w:ascii="Calibri" w:cs="Calibri" w:eastAsia="Calibri" w:hAnsi="Calibri"/>
          <w:color w:val="222222"/>
          <w:sz w:val="21"/>
          <w:szCs w:val="21"/>
        </w:rPr>
        <w:t xml:space="preserve">Same gap as the other templates.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Clarify economic-rights assignment with a limited moral-rights non-assertion tied to intended use.</w:t>
      </w:r>
    </w:p>
    <w:p>
      <w:pPr>
        <w:spacing w:after="40" w:before="160"/>
      </w:pPr>
      <w:r>
        <w:rPr>
          <w:rFonts w:ascii="Calibri" w:cs="Calibri" w:eastAsia="Calibri" w:hAnsi="Calibri"/>
          <w:b/>
          <w:bCs/>
          <w:color w:val="222222"/>
          <w:sz w:val="21"/>
          <w:szCs w:val="21"/>
        </w:rPr>
        <w:t xml:space="preserve">GDPR roles deferred rather than fixed.</w:t>
      </w:r>
    </w:p>
    <w:p>
      <w:pPr>
        <w:spacing w:after="40"/>
        <w:jc w:val="both"/>
      </w:pPr>
      <w:r>
        <w:rPr>
          <w:rFonts w:ascii="Calibri" w:cs="Calibri" w:eastAsia="Calibri" w:hAnsi="Calibri"/>
          <w:color w:val="222222"/>
          <w:sz w:val="21"/>
          <w:szCs w:val="21"/>
        </w:rPr>
        <w:t xml:space="preserve">Same gap as the Freelance Agreement.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Designate controller / processor roles up front and make a DPA a condition precedent.</w:t>
      </w:r>
    </w:p>
    <w:p>
      <w:pPr>
        <w:pStyle w:val="Heading2"/>
        <w:spacing w:after="20" w:before="180"/>
      </w:pPr>
      <w:r>
        <w:rPr>
          <w:rFonts w:ascii="Calibri" w:cs="Calibri" w:eastAsia="Calibri" w:hAnsi="Calibri"/>
          <w:b/>
          <w:bCs/>
          <w:color w:val="2E5AAC"/>
          <w:sz w:val="26"/>
          <w:szCs w:val="26"/>
        </w:rPr>
        <w:t xml:space="preserve">Non-Compete Agreement</w:t>
      </w:r>
    </w:p>
    <w:p>
      <w:pPr>
        <w:spacing w:after="60"/>
      </w:pPr>
      <w:r>
        <w:rPr>
          <w:rFonts w:ascii="Calibri" w:cs="Calibri" w:eastAsia="Calibri" w:hAnsi="Calibri"/>
          <w:i/>
          <w:iCs/>
          <w:color w:val="595959"/>
          <w:sz w:val="18"/>
          <w:szCs w:val="18"/>
        </w:rPr>
        <w:t xml:space="preserve">NON_COMPETE_AGREEMENT_MASTER_EN.md</w:t>
      </w:r>
    </w:p>
    <w:p>
      <w:pPr>
        <w:spacing w:after="40" w:before="160"/>
      </w:pPr>
      <w:r>
        <w:rPr>
          <w:rFonts w:ascii="Calibri" w:cs="Calibri" w:eastAsia="Calibri" w:hAnsi="Calibri"/>
          <w:b/>
          <w:bCs/>
          <w:color w:val="222222"/>
          <w:sz w:val="21"/>
          <w:szCs w:val="21"/>
        </w:rPr>
        <w:t xml:space="preserve">Duration has no statutory ceiling.</w:t>
      </w:r>
    </w:p>
    <w:p>
      <w:pPr>
        <w:spacing w:after="40"/>
        <w:jc w:val="both"/>
      </w:pPr>
      <w:r>
        <w:rPr>
          <w:rFonts w:ascii="Calibri" w:cs="Calibri" w:eastAsia="Calibri" w:hAnsi="Calibri"/>
          <w:color w:val="222222"/>
          <w:sz w:val="21"/>
          <w:szCs w:val="21"/>
        </w:rPr>
        <w:t xml:space="preserve">The restricted period is an open placeholder, but the Act on Employment Clauses caps non-compete (and combined non-compete / non-solicit) restrictions at 12 months.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Hard-code a 12-month maximum in the template.</w:t>
      </w:r>
    </w:p>
    <w:p>
      <w:pPr>
        <w:spacing w:after="40" w:before="160"/>
      </w:pPr>
      <w:r>
        <w:rPr>
          <w:rFonts w:ascii="Calibri" w:cs="Calibri" w:eastAsia="Calibri" w:hAnsi="Calibri"/>
          <w:b/>
          <w:bCs/>
          <w:color w:val="222222"/>
          <w:sz w:val="21"/>
          <w:szCs w:val="21"/>
        </w:rPr>
        <w:t xml:space="preserve">Eligibility gate for the clause is missing.</w:t>
      </w:r>
    </w:p>
    <w:p>
      <w:pPr>
        <w:spacing w:after="40"/>
        <w:jc w:val="both"/>
      </w:pPr>
      <w:r>
        <w:rPr>
          <w:rFonts w:ascii="Calibri" w:cs="Calibri" w:eastAsia="Calibri" w:hAnsi="Calibri"/>
          <w:color w:val="222222"/>
          <w:sz w:val="21"/>
          <w:szCs w:val="21"/>
        </w:rPr>
        <w:t xml:space="preserve">The Act only permits non-compete clauses for employees in a position of special trust or with access to genuinely sensitive information; there is no recital establishing this, risking invalidity for lower-level roles.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recital confirming the Restricted Party occupies such a position, tied to the specific confidential information / customer relationships.</w:t>
      </w:r>
    </w:p>
    <w:p>
      <w:pPr>
        <w:spacing w:after="40" w:before="160"/>
      </w:pPr>
      <w:r>
        <w:rPr>
          <w:rFonts w:ascii="Calibri" w:cs="Calibri" w:eastAsia="Calibri" w:hAnsi="Calibri"/>
          <w:b/>
          <w:bCs/>
          <w:color w:val="222222"/>
          <w:sz w:val="21"/>
          <w:szCs w:val="21"/>
        </w:rPr>
        <w:t xml:space="preserve">Compensation mechanism is incomplete.</w:t>
      </w:r>
    </w:p>
    <w:p>
      <w:pPr>
        <w:spacing w:after="40"/>
        <w:jc w:val="both"/>
      </w:pPr>
      <w:r>
        <w:rPr>
          <w:rFonts w:ascii="Calibri" w:cs="Calibri" w:eastAsia="Calibri" w:hAnsi="Calibri"/>
          <w:color w:val="222222"/>
          <w:sz w:val="21"/>
          <w:szCs w:val="21"/>
        </w:rPr>
        <w:t xml:space="preserve">Compensation is deferred to "applicable legislation" without stating it is a mandatory monthly payment for the whole period, and the mitigation rule applies differently for a standalone versus a combined clause.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Specify the compensation schedule and clarify which mitigation rule applies to the chosen clause combination.</w:t>
      </w:r>
    </w:p>
    <w:p>
      <w:pPr>
        <w:spacing w:after="40" w:before="160"/>
      </w:pPr>
      <w:r>
        <w:rPr>
          <w:rFonts w:ascii="Calibri" w:cs="Calibri" w:eastAsia="Calibri" w:hAnsi="Calibri"/>
          <w:b/>
          <w:bCs/>
          <w:color w:val="222222"/>
          <w:sz w:val="21"/>
          <w:szCs w:val="21"/>
        </w:rPr>
        <w:t xml:space="preserve">No default-lapse / confirmation mechanism on employer termination.</w:t>
      </w:r>
    </w:p>
    <w:p>
      <w:pPr>
        <w:spacing w:after="40"/>
        <w:jc w:val="both"/>
      </w:pPr>
      <w:r>
        <w:rPr>
          <w:rFonts w:ascii="Calibri" w:cs="Calibri" w:eastAsia="Calibri" w:hAnsi="Calibri"/>
          <w:color w:val="222222"/>
          <w:sz w:val="21"/>
          <w:szCs w:val="21"/>
        </w:rPr>
        <w:t xml:space="preserve">If the employer terminates (for reasons not attributable to the employee), the restriction lapses automatically unless the employer confirms in writing within a short deadline. Only voluntary waiver is covered.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clause requiring the Company to confirm, within the deadline, whether it maintains the restriction.</w:t>
      </w:r>
    </w:p>
    <w:p>
      <w:pPr>
        <w:spacing w:after="40" w:before="160"/>
      </w:pPr>
      <w:r>
        <w:rPr>
          <w:rFonts w:ascii="Calibri" w:cs="Calibri" w:eastAsia="Calibri" w:hAnsi="Calibri"/>
          <w:b/>
          <w:bCs/>
          <w:color w:val="222222"/>
          <w:sz w:val="21"/>
          <w:szCs w:val="21"/>
        </w:rPr>
        <w:t xml:space="preserve">Customer non-solicit does not use the 12-month look-back.</w:t>
      </w:r>
    </w:p>
    <w:p>
      <w:pPr>
        <w:spacing w:after="40"/>
        <w:jc w:val="both"/>
      </w:pPr>
      <w:r>
        <w:rPr>
          <w:rFonts w:ascii="Calibri" w:cs="Calibri" w:eastAsia="Calibri" w:hAnsi="Calibri"/>
          <w:color w:val="222222"/>
          <w:sz w:val="21"/>
          <w:szCs w:val="21"/>
        </w:rPr>
        <w:t xml:space="preserve">Protection extends to customers with "material contact," but the Act limits protected customers to those with a business connection in the 12 months before the termination notice.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Revise the definition to match the 12-month look-back.</w:t>
      </w:r>
    </w:p>
    <w:p>
      <w:pPr>
        <w:pStyle w:val="Heading2"/>
        <w:spacing w:after="20" w:before="180"/>
      </w:pPr>
      <w:r>
        <w:rPr>
          <w:rFonts w:ascii="Calibri" w:cs="Calibri" w:eastAsia="Calibri" w:hAnsi="Calibri"/>
          <w:b/>
          <w:bCs/>
          <w:color w:val="2E5AAC"/>
          <w:sz w:val="26"/>
          <w:szCs w:val="26"/>
        </w:rPr>
        <w:t xml:space="preserve">Non-Solicitation Agreement</w:t>
      </w:r>
    </w:p>
    <w:p>
      <w:pPr>
        <w:spacing w:after="60"/>
      </w:pPr>
      <w:r>
        <w:rPr>
          <w:rFonts w:ascii="Calibri" w:cs="Calibri" w:eastAsia="Calibri" w:hAnsi="Calibri"/>
          <w:i/>
          <w:iCs/>
          <w:color w:val="595959"/>
          <w:sz w:val="18"/>
          <w:szCs w:val="18"/>
        </w:rPr>
        <w:t xml:space="preserve">NON_SOLICITATION_AGREEMENT_MASTER_EN.md</w:t>
      </w:r>
    </w:p>
    <w:p>
      <w:pPr>
        <w:spacing w:after="40" w:before="160"/>
      </w:pPr>
      <w:r>
        <w:rPr>
          <w:rFonts w:ascii="Calibri" w:cs="Calibri" w:eastAsia="Calibri" w:hAnsi="Calibri"/>
          <w:b/>
          <w:bCs/>
          <w:color w:val="222222"/>
          <w:sz w:val="21"/>
          <w:szCs w:val="21"/>
        </w:rPr>
        <w:t xml:space="preserve">Customer scope is broader than the Act permits.</w:t>
      </w:r>
    </w:p>
    <w:p>
      <w:pPr>
        <w:spacing w:after="40"/>
        <w:jc w:val="both"/>
      </w:pPr>
      <w:r>
        <w:rPr>
          <w:rFonts w:ascii="Calibri" w:cs="Calibri" w:eastAsia="Calibri" w:hAnsi="Calibri"/>
          <w:color w:val="222222"/>
          <w:sz w:val="21"/>
          <w:szCs w:val="21"/>
        </w:rPr>
        <w:t xml:space="preserve">Protection covers all "active clients during the engagement," rather than the Act's narrower test of customers with actual business contact in the 12 months before the termination notice.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Narrow the definition to the statutory look-back.</w:t>
      </w:r>
    </w:p>
    <w:p>
      <w:pPr>
        <w:spacing w:after="40" w:before="160"/>
      </w:pPr>
      <w:r>
        <w:rPr>
          <w:rFonts w:ascii="Calibri" w:cs="Calibri" w:eastAsia="Calibri" w:hAnsi="Calibri"/>
          <w:b/>
          <w:bCs/>
          <w:color w:val="222222"/>
          <w:sz w:val="21"/>
          <w:szCs w:val="21"/>
        </w:rPr>
        <w:t xml:space="preserve">No compensation clause for the customer restriction.</w:t>
      </w:r>
    </w:p>
    <w:p>
      <w:pPr>
        <w:spacing w:after="40"/>
        <w:jc w:val="both"/>
      </w:pPr>
      <w:r>
        <w:rPr>
          <w:rFonts w:ascii="Calibri" w:cs="Calibri" w:eastAsia="Calibri" w:hAnsi="Calibri"/>
          <w:color w:val="222222"/>
          <w:sz w:val="21"/>
          <w:szCs w:val="21"/>
        </w:rPr>
        <w:t xml:space="preserve">A customer non-solicitation clause (kundeklausul) against an individual employee requires mandatory compensation under the Act; there is none, which is likely fatal to enforceability.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mandatory monthly compensation clause covering the restricted period.</w:t>
      </w:r>
    </w:p>
    <w:p>
      <w:pPr>
        <w:spacing w:after="40" w:before="160"/>
      </w:pPr>
      <w:r>
        <w:rPr>
          <w:rFonts w:ascii="Calibri" w:cs="Calibri" w:eastAsia="Calibri" w:hAnsi="Calibri"/>
          <w:b/>
          <w:bCs/>
          <w:color w:val="222222"/>
          <w:sz w:val="21"/>
          <w:szCs w:val="21"/>
        </w:rPr>
        <w:t xml:space="preserve">Duration is uncapped.</w:t>
      </w:r>
    </w:p>
    <w:p>
      <w:pPr>
        <w:spacing w:after="40"/>
        <w:jc w:val="both"/>
      </w:pPr>
      <w:r>
        <w:rPr>
          <w:rFonts w:ascii="Calibri" w:cs="Calibri" w:eastAsia="Calibri" w:hAnsi="Calibri"/>
          <w:color w:val="222222"/>
          <w:sz w:val="21"/>
          <w:szCs w:val="21"/>
        </w:rPr>
        <w:t xml:space="preserve">No reference to the Act's 12-month maximum.</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Cap the restricted period at 12 months.</w:t>
      </w:r>
    </w:p>
    <w:p>
      <w:pPr>
        <w:spacing w:after="40" w:before="160"/>
      </w:pPr>
      <w:r>
        <w:rPr>
          <w:rFonts w:ascii="Calibri" w:cs="Calibri" w:eastAsia="Calibri" w:hAnsi="Calibri"/>
          <w:b/>
          <w:bCs/>
          <w:color w:val="222222"/>
          <w:sz w:val="21"/>
          <w:szCs w:val="21"/>
        </w:rPr>
        <w:t xml:space="preserve">"Restricted Party" scope is ambiguous.</w:t>
      </w:r>
    </w:p>
    <w:p>
      <w:pPr>
        <w:spacing w:after="40"/>
        <w:jc w:val="both"/>
      </w:pPr>
      <w:r>
        <w:rPr>
          <w:rFonts w:ascii="Calibri" w:cs="Calibri" w:eastAsia="Calibri" w:hAnsi="Calibri"/>
          <w:color w:val="222222"/>
          <w:sz w:val="21"/>
          <w:szCs w:val="21"/>
        </w:rPr>
        <w:t xml:space="preserve">If used to bind another company not to poach staff, that is a prohibited inter-employer no-poach arrangement, void under the Act.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scoping clause confirming the Restricted Party is a natural person, not another undertaking.</w:t>
      </w:r>
    </w:p>
    <w:p>
      <w:pPr>
        <w:spacing w:after="40" w:before="160"/>
      </w:pPr>
      <w:r>
        <w:rPr>
          <w:rFonts w:ascii="Calibri" w:cs="Calibri" w:eastAsia="Calibri" w:hAnsi="Calibri"/>
          <w:b/>
          <w:bCs/>
          <w:color w:val="222222"/>
          <w:sz w:val="21"/>
          <w:szCs w:val="21"/>
        </w:rPr>
        <w:t xml:space="preserve">Penalty not reconciled with the compensation regime.</w:t>
      </w:r>
    </w:p>
    <w:p>
      <w:pPr>
        <w:spacing w:after="40"/>
        <w:jc w:val="both"/>
      </w:pPr>
      <w:r>
        <w:rPr>
          <w:rFonts w:ascii="Calibri" w:cs="Calibri" w:eastAsia="Calibri" w:hAnsi="Calibri"/>
          <w:color w:val="222222"/>
          <w:sz w:val="21"/>
          <w:szCs w:val="21"/>
        </w:rPr>
        <w:t xml:space="preserve">A breach penalty "without prejudice to damages" ignores disproportion risk (courts can reduce excessive penalties) and does not say whether it replaces or supplements the employee's compensation entitlement.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Cap the penalty proportionately and clarify it is independent of the statutory compensation.</w:t>
      </w:r>
    </w:p>
    <w:p>
      <w:r>
        <w:br w:type="page"/>
      </w:r>
    </w:p>
    <w:p>
      <w:pPr>
        <w:pStyle w:val="Heading1"/>
        <w:spacing w:after="40" w:before="60"/>
      </w:pPr>
      <w:r>
        <w:rPr>
          <w:rFonts w:ascii="Calibri" w:cs="Calibri" w:eastAsia="Calibri" w:hAnsi="Calibri"/>
          <w:b/>
          <w:bCs/>
          <w:color w:val="1F3864"/>
          <w:sz w:val="32"/>
          <w:szCs w:val="32"/>
        </w:rPr>
        <w:t xml:space="preserve">Commercial &amp; Sales</w:t>
      </w:r>
    </w:p>
    <w:p>
      <w:pPr>
        <w:pBdr>
          <w:bottom w:val="single" w:color="2E5AAC" w:sz="12" w:space="6"/>
        </w:pBdr>
        <w:spacing w:after="160"/>
      </w:pPr>
    </w:p>
    <w:p>
      <w:pPr>
        <w:pStyle w:val="Heading2"/>
        <w:spacing w:after="20" w:before="180"/>
      </w:pPr>
      <w:r>
        <w:rPr>
          <w:rFonts w:ascii="Calibri" w:cs="Calibri" w:eastAsia="Calibri" w:hAnsi="Calibri"/>
          <w:b/>
          <w:bCs/>
          <w:color w:val="2E5AAC"/>
          <w:sz w:val="26"/>
          <w:szCs w:val="26"/>
        </w:rPr>
        <w:t xml:space="preserve">Distribution Agreement</w:t>
      </w:r>
    </w:p>
    <w:p>
      <w:pPr>
        <w:spacing w:after="60"/>
      </w:pPr>
      <w:r>
        <w:rPr>
          <w:rFonts w:ascii="Calibri" w:cs="Calibri" w:eastAsia="Calibri" w:hAnsi="Calibri"/>
          <w:i/>
          <w:iCs/>
          <w:color w:val="595959"/>
          <w:sz w:val="18"/>
          <w:szCs w:val="18"/>
        </w:rPr>
        <w:t xml:space="preserve">DISTRIBUTION_AGREEMENT_MASTER_EN.md</w:t>
      </w:r>
    </w:p>
    <w:p>
      <w:pPr>
        <w:spacing w:after="40" w:before="160"/>
      </w:pPr>
      <w:r>
        <w:rPr>
          <w:rFonts w:ascii="Calibri" w:cs="Calibri" w:eastAsia="Calibri" w:hAnsi="Calibri"/>
          <w:b/>
          <w:bCs/>
          <w:color w:val="222222"/>
          <w:sz w:val="21"/>
          <w:szCs w:val="21"/>
        </w:rPr>
        <w:t xml:space="preserve">CISG is silently in force.</w:t>
      </w:r>
    </w:p>
    <w:p>
      <w:pPr>
        <w:spacing w:after="40"/>
        <w:jc w:val="both"/>
      </w:pPr>
      <w:r>
        <w:rPr>
          <w:rFonts w:ascii="Calibri" w:cs="Calibri" w:eastAsia="Calibri" w:hAnsi="Calibri"/>
          <w:color w:val="222222"/>
          <w:sz w:val="21"/>
          <w:szCs w:val="21"/>
        </w:rPr>
        <w:t xml:space="preserve">Danish law is chosen but the CISG is not excluded, so cross-border B2B sales under the agreement default to the CISG rather than Købeloven, with different rules on conformity, notice of defects and remedies.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clause excluding the CISG and confirming Købeloven applies as background law.</w:t>
      </w:r>
    </w:p>
    <w:p>
      <w:pPr>
        <w:spacing w:after="40" w:before="160"/>
      </w:pPr>
      <w:r>
        <w:rPr>
          <w:rFonts w:ascii="Calibri" w:cs="Calibri" w:eastAsia="Calibri" w:hAnsi="Calibri"/>
          <w:b/>
          <w:bCs/>
          <w:color w:val="222222"/>
          <w:sz w:val="21"/>
          <w:szCs w:val="21"/>
        </w:rPr>
        <w:t xml:space="preserve">No late-payment interest or recovery-cost mechanism.</w:t>
      </w:r>
    </w:p>
    <w:p>
      <w:pPr>
        <w:spacing w:after="40"/>
        <w:jc w:val="both"/>
      </w:pPr>
      <w:r>
        <w:rPr>
          <w:rFonts w:ascii="Calibri" w:cs="Calibri" w:eastAsia="Calibri" w:hAnsi="Calibri"/>
          <w:color w:val="222222"/>
          <w:sz w:val="21"/>
          <w:szCs w:val="21"/>
        </w:rPr>
        <w:t xml:space="preserve">The clause only allows suspension of deliveries; there is no interest rate and no reference to the Renteloven default rate or the mandatory fixed recovery-cost compensation under the EU Late Payment rules.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an agreed interest rate and add the mandatory fixed recovery-cost compensation (which cannot be waived in advance).</w:t>
      </w:r>
    </w:p>
    <w:p>
      <w:pPr>
        <w:spacing w:after="40" w:before="160"/>
      </w:pPr>
      <w:r>
        <w:rPr>
          <w:rFonts w:ascii="Calibri" w:cs="Calibri" w:eastAsia="Calibri" w:hAnsi="Calibri"/>
          <w:b/>
          <w:bCs/>
          <w:color w:val="222222"/>
          <w:sz w:val="21"/>
          <w:szCs w:val="21"/>
        </w:rPr>
        <w:t xml:space="preserve">Competition-law wording is a placeholder, not a rule.</w:t>
      </w:r>
    </w:p>
    <w:p>
      <w:pPr>
        <w:spacing w:after="40"/>
        <w:jc w:val="both"/>
      </w:pPr>
      <w:r>
        <w:rPr>
          <w:rFonts w:ascii="Calibri" w:cs="Calibri" w:eastAsia="Calibri" w:hAnsi="Calibri"/>
          <w:color w:val="222222"/>
          <w:sz w:val="21"/>
          <w:szCs w:val="21"/>
        </w:rPr>
        <w:t xml:space="preserve">The agreement gestures at "applicable competition law" without stating the hardcore-restriction rules: active sales outside the Territory may be restricted, but restricting passive sales or fixing minimum / resale prices is a hardcore restriction that can void the exemption for the whole agreement.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Spell out that only active sales may be restricted, that any resale prices are non-binding maximum / recommended, and that passive sales may never be blocked.</w:t>
      </w:r>
    </w:p>
    <w:p>
      <w:pPr>
        <w:spacing w:after="40" w:before="160"/>
      </w:pPr>
      <w:r>
        <w:rPr>
          <w:rFonts w:ascii="Calibri" w:cs="Calibri" w:eastAsia="Calibri" w:hAnsi="Calibri"/>
          <w:b/>
          <w:bCs/>
          <w:color w:val="222222"/>
          <w:sz w:val="21"/>
          <w:szCs w:val="21"/>
        </w:rPr>
        <w:t xml:space="preserve">Agent-reclassification risk is unaddressed.</w:t>
      </w:r>
    </w:p>
    <w:p>
      <w:pPr>
        <w:spacing w:after="40"/>
        <w:jc w:val="both"/>
      </w:pPr>
      <w:r>
        <w:rPr>
          <w:rFonts w:ascii="Calibri" w:cs="Calibri" w:eastAsia="Calibri" w:hAnsi="Calibri"/>
          <w:color w:val="222222"/>
          <w:sz w:val="21"/>
          <w:szCs w:val="21"/>
        </w:rPr>
        <w:t xml:space="preserve">The agreement never states the Distributor buys and resells in its own name and account with no authority to bind the Supplier — the features that keep it outside the Handelsagentloven (with its mandatory goodwill compensation for true agents).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operative clause confirming the Distributor resells in its own name / account and bears price and credit risk.</w:t>
      </w:r>
    </w:p>
    <w:p>
      <w:pPr>
        <w:spacing w:after="40" w:before="160"/>
      </w:pPr>
      <w:r>
        <w:rPr>
          <w:rFonts w:ascii="Calibri" w:cs="Calibri" w:eastAsia="Calibri" w:hAnsi="Calibri"/>
          <w:b/>
          <w:bCs/>
          <w:color w:val="222222"/>
          <w:sz w:val="21"/>
          <w:szCs w:val="21"/>
        </w:rPr>
        <w:t xml:space="preserve">Product-liability allocation is too thin.</w:t>
      </w:r>
    </w:p>
    <w:p>
      <w:pPr>
        <w:spacing w:after="40"/>
        <w:jc w:val="both"/>
      </w:pPr>
      <w:r>
        <w:rPr>
          <w:rFonts w:ascii="Calibri" w:cs="Calibri" w:eastAsia="Calibri" w:hAnsi="Calibri"/>
          <w:color w:val="222222"/>
          <w:sz w:val="21"/>
          <w:szCs w:val="21"/>
        </w:rPr>
        <w:t xml:space="preserve">"Each Party liable for its own fault" does not address the Produktansvarsloven's strict, non-excludable liability, under which the Distributor (if EU importer) can be treated as a liable producer toward end users.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Supplier indemnity for product-liability claims not caused by the Distributor, plus a mutual insurance requirement.</w:t>
      </w:r>
    </w:p>
    <w:p>
      <w:pPr>
        <w:spacing w:after="40" w:before="160"/>
      </w:pPr>
      <w:r>
        <w:rPr>
          <w:rFonts w:ascii="Calibri" w:cs="Calibri" w:eastAsia="Calibri" w:hAnsi="Calibri"/>
          <w:b/>
          <w:bCs/>
          <w:color w:val="222222"/>
          <w:sz w:val="21"/>
          <w:szCs w:val="21"/>
        </w:rPr>
        <w:t xml:space="preserve">Termination notice is a blank with no floor.</w:t>
      </w:r>
    </w:p>
    <w:p>
      <w:pPr>
        <w:spacing w:after="40"/>
        <w:jc w:val="both"/>
      </w:pPr>
      <w:r>
        <w:rPr>
          <w:rFonts w:ascii="Calibri" w:cs="Calibri" w:eastAsia="Calibri" w:hAnsi="Calibri"/>
          <w:color w:val="222222"/>
          <w:sz w:val="21"/>
          <w:szCs w:val="21"/>
        </w:rPr>
        <w:t xml:space="preserve">The renewal notice period is an unfilled placeholder; Danish courts can treat an unreasonably short period as insufficient for an ongoing dealer relationship.</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Set a minimum notice floor scaled to duration / volume built up.</w:t>
      </w:r>
    </w:p>
    <w:p>
      <w:pPr>
        <w:pStyle w:val="Heading2"/>
        <w:spacing w:after="20" w:before="180"/>
      </w:pPr>
      <w:r>
        <w:rPr>
          <w:rFonts w:ascii="Calibri" w:cs="Calibri" w:eastAsia="Calibri" w:hAnsi="Calibri"/>
          <w:b/>
          <w:bCs/>
          <w:color w:val="2E5AAC"/>
          <w:sz w:val="26"/>
          <w:szCs w:val="26"/>
        </w:rPr>
        <w:t xml:space="preserve">Exclusive Distribution Agreement</w:t>
      </w:r>
    </w:p>
    <w:p>
      <w:pPr>
        <w:spacing w:after="60"/>
      </w:pPr>
      <w:r>
        <w:rPr>
          <w:rFonts w:ascii="Calibri" w:cs="Calibri" w:eastAsia="Calibri" w:hAnsi="Calibri"/>
          <w:i/>
          <w:iCs/>
          <w:color w:val="595959"/>
          <w:sz w:val="18"/>
          <w:szCs w:val="18"/>
        </w:rPr>
        <w:t xml:space="preserve">EXCLUSIVE_DISTRIBUTION_AGREEMENT_MASTER_EN.md</w:t>
      </w:r>
    </w:p>
    <w:p>
      <w:pPr>
        <w:spacing w:after="40" w:before="160"/>
      </w:pPr>
      <w:r>
        <w:rPr>
          <w:rFonts w:ascii="Calibri" w:cs="Calibri" w:eastAsia="Calibri" w:hAnsi="Calibri"/>
          <w:b/>
          <w:bCs/>
          <w:color w:val="222222"/>
          <w:sz w:val="21"/>
          <w:szCs w:val="21"/>
        </w:rPr>
        <w:t xml:space="preserve">Exclusivity is not tied to the passive-sales carve-out.</w:t>
      </w:r>
    </w:p>
    <w:p>
      <w:pPr>
        <w:spacing w:after="40"/>
        <w:jc w:val="both"/>
      </w:pPr>
      <w:r>
        <w:rPr>
          <w:rFonts w:ascii="Calibri" w:cs="Calibri" w:eastAsia="Calibri" w:hAnsi="Calibri"/>
          <w:color w:val="222222"/>
          <w:sz w:val="21"/>
          <w:szCs w:val="21"/>
        </w:rPr>
        <w:t xml:space="preserve">Restricting the Supplier's direct sales and the Distributor's active out-of-territory sales is permissible, but the agreement never confirms passive sales into the Territory cannot be blocked and that resale prices are non-binding. Absolute territorial protection and resale-price maintenance are hardcore restrictions that void the exemption for the entire vertical agreement — higher-stakes here than for a non-exclusive deal.</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clause that passive sales can never be restricted and any suggested resale prices are non-binding maximums.</w:t>
      </w:r>
    </w:p>
    <w:p>
      <w:pPr>
        <w:spacing w:after="40" w:before="160"/>
      </w:pPr>
      <w:r>
        <w:rPr>
          <w:rFonts w:ascii="Calibri" w:cs="Calibri" w:eastAsia="Calibri" w:hAnsi="Calibri"/>
          <w:b/>
          <w:bCs/>
          <w:color w:val="222222"/>
          <w:sz w:val="21"/>
          <w:szCs w:val="21"/>
        </w:rPr>
        <w:t xml:space="preserve">Distributor-versus-agent characterisation is implicit.</w:t>
      </w:r>
    </w:p>
    <w:p>
      <w:pPr>
        <w:spacing w:after="40"/>
        <w:jc w:val="both"/>
      </w:pPr>
      <w:r>
        <w:rPr>
          <w:rFonts w:ascii="Calibri" w:cs="Calibri" w:eastAsia="Calibri" w:hAnsi="Calibri"/>
          <w:color w:val="222222"/>
          <w:sz w:val="21"/>
          <w:szCs w:val="21"/>
        </w:rPr>
        <w:t xml:space="preserve">The template never states the Distributor buys / resells in its own name and account and cannot bind the Supplier; the tighter integration typical of exclusivity (targets, brand control) raises the Handelsagentloven recharacterisation risk.</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the "independent reseller, own name / account, no authority to bind" language.</w:t>
      </w:r>
    </w:p>
    <w:p>
      <w:pPr>
        <w:spacing w:after="40" w:before="160"/>
      </w:pPr>
      <w:r>
        <w:rPr>
          <w:rFonts w:ascii="Calibri" w:cs="Calibri" w:eastAsia="Calibri" w:hAnsi="Calibri"/>
          <w:b/>
          <w:bCs/>
          <w:color w:val="222222"/>
          <w:sz w:val="21"/>
          <w:szCs w:val="21"/>
        </w:rPr>
        <w:t xml:space="preserve">Minimum-target consequence lacks process.</w:t>
      </w:r>
    </w:p>
    <w:p>
      <w:pPr>
        <w:spacing w:after="40"/>
        <w:jc w:val="both"/>
      </w:pPr>
      <w:r>
        <w:rPr>
          <w:rFonts w:ascii="Calibri" w:cs="Calibri" w:eastAsia="Calibri" w:hAnsi="Calibri"/>
          <w:color w:val="222222"/>
          <w:sz w:val="21"/>
          <w:szCs w:val="21"/>
        </w:rPr>
        <w:t xml:space="preserve">The Supplier can revoke exclusivity or terminate for missed targets with no notice or cure period, though exclusivity is the core value the Distributor invests against.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Require written notice, a stated cure period and an objective measurement method before exclusivity is revoked.</w:t>
      </w:r>
    </w:p>
    <w:p>
      <w:pPr>
        <w:spacing w:after="40" w:before="160"/>
      </w:pPr>
      <w:r>
        <w:rPr>
          <w:rFonts w:ascii="Calibri" w:cs="Calibri" w:eastAsia="Calibri" w:hAnsi="Calibri"/>
          <w:b/>
          <w:bCs/>
          <w:color w:val="222222"/>
          <w:sz w:val="21"/>
          <w:szCs w:val="21"/>
        </w:rPr>
        <w:t xml:space="preserve">Late-payment interest is missing.</w:t>
      </w:r>
    </w:p>
    <w:p>
      <w:pPr>
        <w:spacing w:after="40"/>
        <w:jc w:val="both"/>
      </w:pPr>
      <w:r>
        <w:rPr>
          <w:rFonts w:ascii="Calibri" w:cs="Calibri" w:eastAsia="Calibri" w:hAnsi="Calibri"/>
          <w:color w:val="222222"/>
          <w:sz w:val="21"/>
          <w:szCs w:val="21"/>
        </w:rPr>
        <w:t xml:space="preserve">Only suspension of deliveries is provided; no Renteloven interest and no mandatory recovery-cost fee.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an agreed interest rate and add the mandatory fixed recovery-cost compensation.</w:t>
      </w:r>
    </w:p>
    <w:p>
      <w:pPr>
        <w:spacing w:after="40" w:before="160"/>
      </w:pPr>
      <w:r>
        <w:rPr>
          <w:rFonts w:ascii="Calibri" w:cs="Calibri" w:eastAsia="Calibri" w:hAnsi="Calibri"/>
          <w:b/>
          <w:bCs/>
          <w:color w:val="222222"/>
          <w:sz w:val="21"/>
          <w:szCs w:val="21"/>
        </w:rPr>
        <w:t xml:space="preserve">CISG is not excluded.</w:t>
      </w:r>
    </w:p>
    <w:p>
      <w:pPr>
        <w:spacing w:after="40"/>
        <w:jc w:val="both"/>
      </w:pPr>
      <w:r>
        <w:rPr>
          <w:rFonts w:ascii="Calibri" w:cs="Calibri" w:eastAsia="Calibri" w:hAnsi="Calibri"/>
          <w:color w:val="222222"/>
          <w:sz w:val="21"/>
          <w:szCs w:val="21"/>
        </w:rPr>
        <w:t xml:space="preserve">Same consequence as the base distribution template for cross-border orders.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CISG-exclusion clause.</w:t>
      </w:r>
    </w:p>
    <w:p>
      <w:pPr>
        <w:pStyle w:val="Heading2"/>
        <w:spacing w:after="20" w:before="180"/>
      </w:pPr>
      <w:r>
        <w:rPr>
          <w:rFonts w:ascii="Calibri" w:cs="Calibri" w:eastAsia="Calibri" w:hAnsi="Calibri"/>
          <w:b/>
          <w:bCs/>
          <w:color w:val="2E5AAC"/>
          <w:sz w:val="26"/>
          <w:szCs w:val="26"/>
        </w:rPr>
        <w:t xml:space="preserve">Consignment Agreement</w:t>
      </w:r>
    </w:p>
    <w:p>
      <w:pPr>
        <w:spacing w:after="60"/>
      </w:pPr>
      <w:r>
        <w:rPr>
          <w:rFonts w:ascii="Calibri" w:cs="Calibri" w:eastAsia="Calibri" w:hAnsi="Calibri"/>
          <w:i/>
          <w:iCs/>
          <w:color w:val="595959"/>
          <w:sz w:val="18"/>
          <w:szCs w:val="18"/>
        </w:rPr>
        <w:t xml:space="preserve">CONSIGNMENT_AGREEMENT_MASTER_EN.md</w:t>
      </w:r>
    </w:p>
    <w:p>
      <w:pPr>
        <w:spacing w:after="40" w:before="160"/>
      </w:pPr>
      <w:r>
        <w:rPr>
          <w:rFonts w:ascii="Calibri" w:cs="Calibri" w:eastAsia="Calibri" w:hAnsi="Calibri"/>
          <w:b/>
          <w:bCs/>
          <w:color w:val="222222"/>
          <w:sz w:val="21"/>
          <w:szCs w:val="21"/>
        </w:rPr>
        <w:t xml:space="preserve">Segregation is optional where it must be mandatory.</w:t>
      </w:r>
    </w:p>
    <w:p>
      <w:pPr>
        <w:spacing w:after="40"/>
        <w:jc w:val="both"/>
      </w:pPr>
      <w:r>
        <w:rPr>
          <w:rFonts w:ascii="Calibri" w:cs="Calibri" w:eastAsia="Calibri" w:hAnsi="Calibri"/>
          <w:color w:val="222222"/>
          <w:sz w:val="21"/>
          <w:szCs w:val="21"/>
        </w:rPr>
        <w:t xml:space="preserve">Segregation is required "unless otherwise agreed," but for the Consignor's retained title to survive the Consignee's insolvency the goods must be clearly and continuously identifiable, not merely a default the parties can contract away.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Make segregation and clear marking mandatory and non-waivable, with stock records identifying Consignor-owned units at all times.</w:t>
      </w:r>
    </w:p>
    <w:p>
      <w:pPr>
        <w:spacing w:after="40" w:before="160"/>
      </w:pPr>
      <w:r>
        <w:rPr>
          <w:rFonts w:ascii="Calibri" w:cs="Calibri" w:eastAsia="Calibri" w:hAnsi="Calibri"/>
          <w:b/>
          <w:bCs/>
          <w:color w:val="222222"/>
          <w:sz w:val="21"/>
          <w:szCs w:val="21"/>
        </w:rPr>
        <w:t xml:space="preserve">VAT / invoicing for "own name, on behalf of" is absent.</w:t>
      </w:r>
    </w:p>
    <w:p>
      <w:pPr>
        <w:spacing w:after="40"/>
        <w:jc w:val="both"/>
      </w:pPr>
      <w:r>
        <w:rPr>
          <w:rFonts w:ascii="Calibri" w:cs="Calibri" w:eastAsia="Calibri" w:hAnsi="Calibri"/>
          <w:color w:val="222222"/>
          <w:sz w:val="21"/>
          <w:szCs w:val="21"/>
        </w:rPr>
        <w:t xml:space="preserve">Selling "in its own name but on behalf of the Consignor" is treated under EU / Danish VAT rules as two deemed successive supplies, driving specific invoicing and reporting duties; cross-border consignment stock can also trigger registration questions.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Specify the invoicing sequence and VAT treatment (including any cross-border call-off conditions).</w:t>
      </w:r>
    </w:p>
    <w:p>
      <w:pPr>
        <w:spacing w:after="40" w:before="160"/>
      </w:pPr>
      <w:r>
        <w:rPr>
          <w:rFonts w:ascii="Calibri" w:cs="Calibri" w:eastAsia="Calibri" w:hAnsi="Calibri"/>
          <w:b/>
          <w:bCs/>
          <w:color w:val="222222"/>
          <w:sz w:val="21"/>
          <w:szCs w:val="21"/>
        </w:rPr>
        <w:t xml:space="preserve">No late-payment interest on settlement remittances.</w:t>
      </w:r>
    </w:p>
    <w:p>
      <w:pPr>
        <w:spacing w:after="40"/>
        <w:jc w:val="both"/>
      </w:pPr>
      <w:r>
        <w:rPr>
          <w:rFonts w:ascii="Calibri" w:cs="Calibri" w:eastAsia="Calibri" w:hAnsi="Calibri"/>
          <w:color w:val="222222"/>
          <w:sz w:val="21"/>
          <w:szCs w:val="21"/>
        </w:rPr>
        <w:t xml:space="preserve">A settlement deadline is set but nothing addresses late remittance of proceeds — no interest, no recovery-cost fee.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interest and recovery-cost clause for late settlement.</w:t>
      </w:r>
    </w:p>
    <w:p>
      <w:pPr>
        <w:spacing w:after="40" w:before="160"/>
      </w:pPr>
      <w:r>
        <w:rPr>
          <w:rFonts w:ascii="Calibri" w:cs="Calibri" w:eastAsia="Calibri" w:hAnsi="Calibri"/>
          <w:b/>
          <w:bCs/>
          <w:color w:val="222222"/>
          <w:sz w:val="21"/>
          <w:szCs w:val="21"/>
        </w:rPr>
        <w:t xml:space="preserve">Product-liability exposure to end customers is not allocated.</w:t>
      </w:r>
    </w:p>
    <w:p>
      <w:pPr>
        <w:spacing w:after="40"/>
        <w:jc w:val="both"/>
      </w:pPr>
      <w:r>
        <w:rPr>
          <w:rFonts w:ascii="Calibri" w:cs="Calibri" w:eastAsia="Calibri" w:hAnsi="Calibri"/>
          <w:color w:val="222222"/>
          <w:sz w:val="21"/>
          <w:szCs w:val="21"/>
        </w:rPr>
        <w:t xml:space="preserve">The Consignee sells in its own name and can be sued for a defective product, though the Consignor as producer / importer bears strict liability under the Produktansvarsloven. Only the Consignee's own negligence is indemnified.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Consignor indemnity for product-liability claims not caused by the Consignee, plus mandatory insurance.</w:t>
      </w:r>
    </w:p>
    <w:p>
      <w:pPr>
        <w:spacing w:after="40" w:before="160"/>
      </w:pPr>
      <w:r>
        <w:rPr>
          <w:rFonts w:ascii="Calibri" w:cs="Calibri" w:eastAsia="Calibri" w:hAnsi="Calibri"/>
          <w:b/>
          <w:bCs/>
          <w:color w:val="222222"/>
          <w:sz w:val="21"/>
          <w:szCs w:val="21"/>
        </w:rPr>
        <w:t xml:space="preserve">Open-ended term with no minimum notice floor.</w:t>
      </w:r>
    </w:p>
    <w:p>
      <w:pPr>
        <w:spacing w:after="40"/>
        <w:jc w:val="both"/>
      </w:pPr>
      <w:r>
        <w:rPr>
          <w:rFonts w:ascii="Calibri" w:cs="Calibri" w:eastAsia="Calibri" w:hAnsi="Calibri"/>
          <w:color w:val="222222"/>
          <w:sz w:val="21"/>
          <w:szCs w:val="21"/>
        </w:rPr>
        <w:t xml:space="preserve">Either party may terminate for convenience on unspecified notice, despite Consignee investment in inventory and infrastructure.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Set a minimum notice period scaled to the relationship's duration.</w:t>
      </w:r>
    </w:p>
    <w:p>
      <w:pPr>
        <w:pStyle w:val="Heading2"/>
        <w:spacing w:after="20" w:before="180"/>
      </w:pPr>
      <w:r>
        <w:rPr>
          <w:rFonts w:ascii="Calibri" w:cs="Calibri" w:eastAsia="Calibri" w:hAnsi="Calibri"/>
          <w:b/>
          <w:bCs/>
          <w:color w:val="2E5AAC"/>
          <w:sz w:val="26"/>
          <w:szCs w:val="26"/>
        </w:rPr>
        <w:t xml:space="preserve">Vendor Agreement</w:t>
      </w:r>
    </w:p>
    <w:p>
      <w:pPr>
        <w:spacing w:after="60"/>
      </w:pPr>
      <w:r>
        <w:rPr>
          <w:rFonts w:ascii="Calibri" w:cs="Calibri" w:eastAsia="Calibri" w:hAnsi="Calibri"/>
          <w:i/>
          <w:iCs/>
          <w:color w:val="595959"/>
          <w:sz w:val="18"/>
          <w:szCs w:val="18"/>
        </w:rPr>
        <w:t xml:space="preserve">VENDOR_AGREEMENT_MASTER_EN.md</w:t>
      </w:r>
    </w:p>
    <w:p>
      <w:pPr>
        <w:spacing w:after="40" w:before="160"/>
      </w:pPr>
      <w:r>
        <w:rPr>
          <w:rFonts w:ascii="Calibri" w:cs="Calibri" w:eastAsia="Calibri" w:hAnsi="Calibri"/>
          <w:b/>
          <w:bCs/>
          <w:color w:val="222222"/>
          <w:sz w:val="21"/>
          <w:szCs w:val="21"/>
        </w:rPr>
        <w:t xml:space="preserve">CISG is not addressed.</w:t>
      </w:r>
    </w:p>
    <w:p>
      <w:pPr>
        <w:spacing w:after="40"/>
        <w:jc w:val="both"/>
      </w:pPr>
      <w:r>
        <w:rPr>
          <w:rFonts w:ascii="Calibri" w:cs="Calibri" w:eastAsia="Calibri" w:hAnsi="Calibri"/>
          <w:color w:val="222222"/>
          <w:sz w:val="21"/>
          <w:szCs w:val="21"/>
        </w:rPr>
        <w:t xml:space="preserve">Danish law is chosen without excluding the CISG, so cross-border purchases default to CISG conformity / notice / remedy rules.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CISG-exclusion clause.</w:t>
      </w:r>
    </w:p>
    <w:p>
      <w:pPr>
        <w:spacing w:after="40" w:before="160"/>
      </w:pPr>
      <w:r>
        <w:rPr>
          <w:rFonts w:ascii="Calibri" w:cs="Calibri" w:eastAsia="Calibri" w:hAnsi="Calibri"/>
          <w:b/>
          <w:bCs/>
          <w:color w:val="222222"/>
          <w:sz w:val="21"/>
          <w:szCs w:val="21"/>
        </w:rPr>
        <w:t xml:space="preserve">Late-payment interest is missing.</w:t>
      </w:r>
    </w:p>
    <w:p>
      <w:pPr>
        <w:spacing w:after="40"/>
        <w:jc w:val="both"/>
      </w:pPr>
      <w:r>
        <w:rPr>
          <w:rFonts w:ascii="Calibri" w:cs="Calibri" w:eastAsia="Calibri" w:hAnsi="Calibri"/>
          <w:color w:val="222222"/>
          <w:sz w:val="21"/>
          <w:szCs w:val="21"/>
        </w:rPr>
        <w:t xml:space="preserve">Disputed amounts are addressed but no interest rate is stated and there is no reference to the Renteloven rate or mandatory recovery-cost fee.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interest clause; note the rate (not the fee) can be varied by agreement between merchants.</w:t>
      </w:r>
    </w:p>
    <w:p>
      <w:pPr>
        <w:spacing w:after="40" w:before="160"/>
      </w:pPr>
      <w:r>
        <w:rPr>
          <w:rFonts w:ascii="Calibri" w:cs="Calibri" w:eastAsia="Calibri" w:hAnsi="Calibri"/>
          <w:b/>
          <w:bCs/>
          <w:color w:val="222222"/>
          <w:sz w:val="21"/>
          <w:szCs w:val="21"/>
        </w:rPr>
        <w:t xml:space="preserve">Defect-notice period is just "a reasonable period."</w:t>
      </w:r>
    </w:p>
    <w:p>
      <w:pPr>
        <w:spacing w:after="40"/>
        <w:jc w:val="both"/>
      </w:pPr>
      <w:r>
        <w:rPr>
          <w:rFonts w:ascii="Calibri" w:cs="Calibri" w:eastAsia="Calibri" w:hAnsi="Calibri"/>
          <w:color w:val="222222"/>
          <w:sz w:val="21"/>
          <w:szCs w:val="21"/>
        </w:rPr>
        <w:t xml:space="preserve">The inspection / complaint window is undefined, inviting disputes and risking the Købeloven default reasonable-time rule being imported instead of a clear cut-off.</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a concrete inspection window and a separate longer stop-period for latent defects.</w:t>
      </w:r>
    </w:p>
    <w:p>
      <w:pPr>
        <w:spacing w:after="40" w:before="160"/>
      </w:pPr>
      <w:r>
        <w:rPr>
          <w:rFonts w:ascii="Calibri" w:cs="Calibri" w:eastAsia="Calibri" w:hAnsi="Calibri"/>
          <w:b/>
          <w:bCs/>
          <w:color w:val="222222"/>
          <w:sz w:val="21"/>
          <w:szCs w:val="21"/>
        </w:rPr>
        <w:t xml:space="preserve">IP-infringement indemnity is not reconciled with the cap.</w:t>
      </w:r>
    </w:p>
    <w:p>
      <w:pPr>
        <w:spacing w:after="40"/>
        <w:jc w:val="both"/>
      </w:pPr>
      <w:r>
        <w:rPr>
          <w:rFonts w:ascii="Calibri" w:cs="Calibri" w:eastAsia="Calibri" w:hAnsi="Calibri"/>
          <w:color w:val="222222"/>
          <w:sz w:val="21"/>
          <w:szCs w:val="21"/>
        </w:rPr>
        <w:t xml:space="preserve">The liability cap excludes only gross negligence, wilful misconduct and product liability — not IP infringement — so a serious IP claim could unexpectedly be capped despite the indemnity.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whether the IP-infringement indemnity is subject to, or carved out from, the cap.</w:t>
      </w:r>
    </w:p>
    <w:p>
      <w:pPr>
        <w:spacing w:after="40" w:before="160"/>
      </w:pPr>
      <w:r>
        <w:rPr>
          <w:rFonts w:ascii="Calibri" w:cs="Calibri" w:eastAsia="Calibri" w:hAnsi="Calibri"/>
          <w:b/>
          <w:bCs/>
          <w:color w:val="222222"/>
          <w:sz w:val="21"/>
          <w:szCs w:val="21"/>
        </w:rPr>
        <w:t xml:space="preserve">No VAT clause.</w:t>
      </w:r>
    </w:p>
    <w:p>
      <w:pPr>
        <w:spacing w:after="40"/>
        <w:jc w:val="both"/>
      </w:pPr>
      <w:r>
        <w:rPr>
          <w:rFonts w:ascii="Calibri" w:cs="Calibri" w:eastAsia="Calibri" w:hAnsi="Calibri"/>
          <w:color w:val="222222"/>
          <w:sz w:val="21"/>
          <w:szCs w:val="21"/>
        </w:rPr>
        <w:t xml:space="preserve">Pricing does not state whether amounts are VAT-inclusive or exclusive.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standard VAT-exclusive-unless-stated clause.</w:t>
      </w:r>
    </w:p>
    <w:p>
      <w:pPr>
        <w:pStyle w:val="Heading2"/>
        <w:spacing w:after="20" w:before="180"/>
      </w:pPr>
      <w:r>
        <w:rPr>
          <w:rFonts w:ascii="Calibri" w:cs="Calibri" w:eastAsia="Calibri" w:hAnsi="Calibri"/>
          <w:b/>
          <w:bCs/>
          <w:color w:val="2E5AAC"/>
          <w:sz w:val="26"/>
          <w:szCs w:val="26"/>
        </w:rPr>
        <w:t xml:space="preserve">Product Supply Agreement</w:t>
      </w:r>
    </w:p>
    <w:p>
      <w:pPr>
        <w:spacing w:after="60"/>
      </w:pPr>
      <w:r>
        <w:rPr>
          <w:rFonts w:ascii="Calibri" w:cs="Calibri" w:eastAsia="Calibri" w:hAnsi="Calibri"/>
          <w:i/>
          <w:iCs/>
          <w:color w:val="595959"/>
          <w:sz w:val="18"/>
          <w:szCs w:val="18"/>
        </w:rPr>
        <w:t xml:space="preserve">PRODUCT_SUPPLY_AGREEMENT_MASTER_EN.md</w:t>
      </w:r>
    </w:p>
    <w:p>
      <w:pPr>
        <w:spacing w:after="40" w:before="160"/>
      </w:pPr>
      <w:r>
        <w:rPr>
          <w:rFonts w:ascii="Calibri" w:cs="Calibri" w:eastAsia="Calibri" w:hAnsi="Calibri"/>
          <w:b/>
          <w:bCs/>
          <w:color w:val="222222"/>
          <w:sz w:val="21"/>
          <w:szCs w:val="21"/>
        </w:rPr>
        <w:t xml:space="preserve">No retention-of-title (ejendomsforbehold) despite payment terms.</w:t>
      </w:r>
    </w:p>
    <w:p>
      <w:pPr>
        <w:spacing w:after="40"/>
        <w:jc w:val="both"/>
      </w:pPr>
      <w:r>
        <w:rPr>
          <w:rFonts w:ascii="Calibri" w:cs="Calibri" w:eastAsia="Calibri" w:hAnsi="Calibri"/>
          <w:color w:val="222222"/>
          <w:sz w:val="21"/>
          <w:szCs w:val="21"/>
        </w:rPr>
        <w:t xml:space="preserve">Payment terms create credit exposure but no clause reserves title until payment. To be valid against other creditors and on insolvency, such a clause must be agreed before / at delivery, the goods must remain identifiable and unprocessed, and it must not be disguised financing.</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retention-of-title clause meeting these conditions and address processing / resale before payment.</w:t>
      </w:r>
    </w:p>
    <w:p>
      <w:pPr>
        <w:spacing w:after="40" w:before="160"/>
      </w:pPr>
      <w:r>
        <w:rPr>
          <w:rFonts w:ascii="Calibri" w:cs="Calibri" w:eastAsia="Calibri" w:hAnsi="Calibri"/>
          <w:b/>
          <w:bCs/>
          <w:color w:val="222222"/>
          <w:sz w:val="21"/>
          <w:szCs w:val="21"/>
        </w:rPr>
        <w:t xml:space="preserve">Late-payment interest is a vague cross-reference.</w:t>
      </w:r>
    </w:p>
    <w:p>
      <w:pPr>
        <w:spacing w:after="40"/>
        <w:jc w:val="both"/>
      </w:pPr>
      <w:r>
        <w:rPr>
          <w:rFonts w:ascii="Calibri" w:cs="Calibri" w:eastAsia="Calibri" w:hAnsi="Calibri"/>
          <w:color w:val="222222"/>
          <w:sz w:val="21"/>
          <w:szCs w:val="21"/>
        </w:rPr>
        <w:t xml:space="preserve">"May accrue statutory interest" does not state the Renteloven mechanism or the separate mandatory recovery-cost fee.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the agreed rate and add the mandatory fixed fee.</w:t>
      </w:r>
    </w:p>
    <w:p>
      <w:pPr>
        <w:spacing w:after="40" w:before="160"/>
      </w:pPr>
      <w:r>
        <w:rPr>
          <w:rFonts w:ascii="Calibri" w:cs="Calibri" w:eastAsia="Calibri" w:hAnsi="Calibri"/>
          <w:b/>
          <w:bCs/>
          <w:color w:val="222222"/>
          <w:sz w:val="21"/>
          <w:szCs w:val="21"/>
        </w:rPr>
        <w:t xml:space="preserve">CISG exclusion is missing.</w:t>
      </w:r>
    </w:p>
    <w:p>
      <w:pPr>
        <w:spacing w:after="40"/>
        <w:jc w:val="both"/>
      </w:pPr>
      <w:r>
        <w:rPr>
          <w:rFonts w:ascii="Calibri" w:cs="Calibri" w:eastAsia="Calibri" w:hAnsi="Calibri"/>
          <w:color w:val="222222"/>
          <w:sz w:val="21"/>
          <w:szCs w:val="21"/>
        </w:rPr>
        <w:t xml:space="preserve">Cross-border purchase orders default to the CISG rather than Købeloven / the agreement's own terms.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exclusion clause.</w:t>
      </w:r>
    </w:p>
    <w:p>
      <w:pPr>
        <w:spacing w:after="40" w:before="160"/>
      </w:pPr>
      <w:r>
        <w:rPr>
          <w:rFonts w:ascii="Calibri" w:cs="Calibri" w:eastAsia="Calibri" w:hAnsi="Calibri"/>
          <w:b/>
          <w:bCs/>
          <w:color w:val="222222"/>
          <w:sz w:val="21"/>
          <w:szCs w:val="21"/>
        </w:rPr>
        <w:t xml:space="preserve">Unilateral price-adjustment has no ceiling or exit right.</w:t>
      </w:r>
    </w:p>
    <w:p>
      <w:pPr>
        <w:spacing w:after="40"/>
        <w:jc w:val="both"/>
      </w:pPr>
      <w:r>
        <w:rPr>
          <w:rFonts w:ascii="Calibri" w:cs="Calibri" w:eastAsia="Calibri" w:hAnsi="Calibri"/>
          <w:color w:val="222222"/>
          <w:sz w:val="21"/>
          <w:szCs w:val="21"/>
        </w:rPr>
        <w:t xml:space="preserve">The Supplier may raise prices on notice with no objective index, cap or Buyer termination right — a one-sided term in a long-term auto-renewing contract, a candidate for challenge under Aftaleloven §36.</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Tie adjustments to a named index or documented cost pass-through and give the Buyer a termination right if it rejects an increase.</w:t>
      </w:r>
    </w:p>
    <w:p>
      <w:pPr>
        <w:spacing w:after="40" w:before="160"/>
      </w:pPr>
      <w:r>
        <w:rPr>
          <w:rFonts w:ascii="Calibri" w:cs="Calibri" w:eastAsia="Calibri" w:hAnsi="Calibri"/>
          <w:b/>
          <w:bCs/>
          <w:color w:val="222222"/>
          <w:sz w:val="21"/>
          <w:szCs w:val="21"/>
        </w:rPr>
        <w:t xml:space="preserve">Force majeure can gut the delivery commitment.</w:t>
      </w:r>
    </w:p>
    <w:p>
      <w:pPr>
        <w:spacing w:after="40"/>
        <w:jc w:val="both"/>
      </w:pPr>
      <w:r>
        <w:rPr>
          <w:rFonts w:ascii="Calibri" w:cs="Calibri" w:eastAsia="Calibri" w:hAnsi="Calibri"/>
          <w:color w:val="222222"/>
          <w:sz w:val="21"/>
          <w:szCs w:val="21"/>
        </w:rPr>
        <w:t xml:space="preserve">"Supply chain disruptions" qualifies with no duration limit or Buyer remedy, effectively suspending the core obligation indefinitely.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maximum force-majeure duration after which the Buyer may terminate, and narrow "supply chain disruptions."</w:t>
      </w:r>
    </w:p>
    <w:p>
      <w:pPr>
        <w:pStyle w:val="Heading2"/>
        <w:spacing w:after="20" w:before="180"/>
      </w:pPr>
      <w:r>
        <w:rPr>
          <w:rFonts w:ascii="Calibri" w:cs="Calibri" w:eastAsia="Calibri" w:hAnsi="Calibri"/>
          <w:b/>
          <w:bCs/>
          <w:color w:val="2E5AAC"/>
          <w:sz w:val="26"/>
          <w:szCs w:val="26"/>
        </w:rPr>
        <w:t xml:space="preserve">Sales and Purchase Agreement</w:t>
      </w:r>
    </w:p>
    <w:p>
      <w:pPr>
        <w:spacing w:after="60"/>
      </w:pPr>
      <w:r>
        <w:rPr>
          <w:rFonts w:ascii="Calibri" w:cs="Calibri" w:eastAsia="Calibri" w:hAnsi="Calibri"/>
          <w:i/>
          <w:iCs/>
          <w:color w:val="595959"/>
          <w:sz w:val="18"/>
          <w:szCs w:val="18"/>
        </w:rPr>
        <w:t xml:space="preserve">SALES_AND_PURCHASE_AGREEMENT_MASTER_EN.md</w:t>
      </w:r>
    </w:p>
    <w:p>
      <w:pPr>
        <w:spacing w:after="40" w:before="160"/>
      </w:pPr>
      <w:r>
        <w:rPr>
          <w:rFonts w:ascii="Calibri" w:cs="Calibri" w:eastAsia="Calibri" w:hAnsi="Calibri"/>
          <w:b/>
          <w:bCs/>
          <w:color w:val="222222"/>
          <w:sz w:val="21"/>
          <w:szCs w:val="21"/>
        </w:rPr>
        <w:t xml:space="preserve">Risk passes before title, with no retention-of-title safeguards.</w:t>
      </w:r>
    </w:p>
    <w:p>
      <w:pPr>
        <w:spacing w:after="40"/>
        <w:jc w:val="both"/>
      </w:pPr>
      <w:r>
        <w:rPr>
          <w:rFonts w:ascii="Calibri" w:cs="Calibri" w:eastAsia="Calibri" w:hAnsi="Calibri"/>
          <w:color w:val="222222"/>
          <w:sz w:val="21"/>
          <w:szCs w:val="21"/>
        </w:rPr>
        <w:t xml:space="preserve">Risk passes on delivery while title stays with the Seller until full payment, so the Buyer bears risk on assets it does not own; the retained title needs the assets to stay identifiable to survive Buyer insolvency.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Align risk with title / payment, or add a retention-of-title clause meeting Danish validity conditions and address use / resale before payment.</w:t>
      </w:r>
    </w:p>
    <w:p>
      <w:pPr>
        <w:spacing w:after="40" w:before="160"/>
      </w:pPr>
      <w:r>
        <w:rPr>
          <w:rFonts w:ascii="Calibri" w:cs="Calibri" w:eastAsia="Calibri" w:hAnsi="Calibri"/>
          <w:b/>
          <w:bCs/>
          <w:color w:val="222222"/>
          <w:sz w:val="21"/>
          <w:szCs w:val="21"/>
        </w:rPr>
        <w:t xml:space="preserve">CISG is not excluded.</w:t>
      </w:r>
    </w:p>
    <w:p>
      <w:pPr>
        <w:spacing w:after="40"/>
        <w:jc w:val="both"/>
      </w:pPr>
      <w:r>
        <w:rPr>
          <w:rFonts w:ascii="Calibri" w:cs="Calibri" w:eastAsia="Calibri" w:hAnsi="Calibri"/>
          <w:color w:val="222222"/>
          <w:sz w:val="21"/>
          <w:szCs w:val="21"/>
        </w:rPr>
        <w:t xml:space="preserve">With "Assets" undefined, it is unclear whether tangible goods (where CISG could apply cross-border) are covered.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CISG-exclusion clause, especially if Assets can include goods.</w:t>
      </w:r>
    </w:p>
    <w:p>
      <w:pPr>
        <w:spacing w:after="40" w:before="160"/>
      </w:pPr>
      <w:r>
        <w:rPr>
          <w:rFonts w:ascii="Calibri" w:cs="Calibri" w:eastAsia="Calibri" w:hAnsi="Calibri"/>
          <w:b/>
          <w:bCs/>
          <w:color w:val="222222"/>
          <w:sz w:val="21"/>
          <w:szCs w:val="21"/>
        </w:rPr>
        <w:t xml:space="preserve">Warranty claims period is a blank with no floor or carve-outs.</w:t>
      </w:r>
    </w:p>
    <w:p>
      <w:pPr>
        <w:spacing w:after="40"/>
        <w:jc w:val="both"/>
      </w:pPr>
      <w:r>
        <w:rPr>
          <w:rFonts w:ascii="Calibri" w:cs="Calibri" w:eastAsia="Calibri" w:hAnsi="Calibri"/>
          <w:color w:val="222222"/>
          <w:sz w:val="21"/>
          <w:szCs w:val="21"/>
        </w:rPr>
        <w:t xml:space="preserve">The claims window is left blank with no default period and no distinction for fundamental warranties (title, encumbrances).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Insert a concrete claims period from Closing and carve out title / ownership and fraud claims from any time limit.</w:t>
      </w:r>
    </w:p>
    <w:p>
      <w:pPr>
        <w:spacing w:after="40" w:before="160"/>
      </w:pPr>
      <w:r>
        <w:rPr>
          <w:rFonts w:ascii="Calibri" w:cs="Calibri" w:eastAsia="Calibri" w:hAnsi="Calibri"/>
          <w:b/>
          <w:bCs/>
          <w:color w:val="222222"/>
          <w:sz w:val="21"/>
          <w:szCs w:val="21"/>
        </w:rPr>
        <w:t xml:space="preserve">Liability cap does not protect against a title defect.</w:t>
      </w:r>
    </w:p>
    <w:p>
      <w:pPr>
        <w:spacing w:after="40"/>
        <w:jc w:val="both"/>
      </w:pPr>
      <w:r>
        <w:rPr>
          <w:rFonts w:ascii="Calibri" w:cs="Calibri" w:eastAsia="Calibri" w:hAnsi="Calibri"/>
          <w:color w:val="222222"/>
          <w:sz w:val="21"/>
          <w:szCs w:val="21"/>
        </w:rPr>
        <w:t xml:space="preserve">The cap at the Purchase Price (except fraud) may under-compensate a breach of the "free from liens and encumbrances" warranty, where the Buyer never received clear title.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Carve title / ownership warranties out of the general cap or give a separate higher remedy.</w:t>
      </w:r>
    </w:p>
    <w:p>
      <w:pPr>
        <w:spacing w:after="40" w:before="160"/>
      </w:pPr>
      <w:r>
        <w:rPr>
          <w:rFonts w:ascii="Calibri" w:cs="Calibri" w:eastAsia="Calibri" w:hAnsi="Calibri"/>
          <w:b/>
          <w:bCs/>
          <w:color w:val="222222"/>
          <w:sz w:val="21"/>
          <w:szCs w:val="21"/>
        </w:rPr>
        <w:t xml:space="preserve">VAT / business-transfer characterisation is unresolved.</w:t>
      </w:r>
    </w:p>
    <w:p>
      <w:pPr>
        <w:spacing w:after="40"/>
        <w:jc w:val="both"/>
      </w:pPr>
      <w:r>
        <w:rPr>
          <w:rFonts w:ascii="Calibri" w:cs="Calibri" w:eastAsia="Calibri" w:hAnsi="Calibri"/>
          <w:color w:val="222222"/>
          <w:sz w:val="21"/>
          <w:szCs w:val="21"/>
        </w:rPr>
        <w:t xml:space="preserve">The price is VAT-exclusive, but nothing addresses whether the sale is a VAT-exempt transfer of a going concern versus a taxable asset sale.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Require the parties to agree and document the VAT characterisation and allocate responsibility if the authority disagrees.</w:t>
      </w:r>
    </w:p>
    <w:p>
      <w:pPr>
        <w:spacing w:after="40" w:before="160"/>
      </w:pPr>
      <w:r>
        <w:rPr>
          <w:rFonts w:ascii="Calibri" w:cs="Calibri" w:eastAsia="Calibri" w:hAnsi="Calibri"/>
          <w:b/>
          <w:bCs/>
          <w:color w:val="222222"/>
          <w:sz w:val="21"/>
          <w:szCs w:val="21"/>
        </w:rPr>
        <w:t xml:space="preserve">Employee transfer is not addressed.</w:t>
      </w:r>
    </w:p>
    <w:p>
      <w:pPr>
        <w:spacing w:after="40"/>
        <w:jc w:val="both"/>
      </w:pPr>
      <w:r>
        <w:rPr>
          <w:rFonts w:ascii="Calibri" w:cs="Calibri" w:eastAsia="Calibri" w:hAnsi="Calibri"/>
          <w:color w:val="222222"/>
          <w:sz w:val="21"/>
          <w:szCs w:val="21"/>
        </w:rPr>
        <w:t xml:space="preserve">If the Assets are an operating business with employees, the Danish Transfer of Undertakings Act transfers employment by operation of law regardless of the contract; silence creates unallocated liabilities.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clause confirming whether employees transfer and allocating notification duties, accrued liabilities and indemnities.</w:t>
      </w:r>
    </w:p>
    <w:p>
      <w:pPr>
        <w:pStyle w:val="Heading2"/>
        <w:spacing w:after="20" w:before="180"/>
      </w:pPr>
      <w:r>
        <w:rPr>
          <w:rFonts w:ascii="Calibri" w:cs="Calibri" w:eastAsia="Calibri" w:hAnsi="Calibri"/>
          <w:b/>
          <w:bCs/>
          <w:color w:val="2E5AAC"/>
          <w:sz w:val="26"/>
          <w:szCs w:val="26"/>
        </w:rPr>
        <w:t xml:space="preserve">General Terms and Conditions of Sale</w:t>
      </w:r>
    </w:p>
    <w:p>
      <w:pPr>
        <w:spacing w:after="60"/>
      </w:pPr>
      <w:r>
        <w:rPr>
          <w:rFonts w:ascii="Calibri" w:cs="Calibri" w:eastAsia="Calibri" w:hAnsi="Calibri"/>
          <w:i/>
          <w:iCs/>
          <w:color w:val="595959"/>
          <w:sz w:val="18"/>
          <w:szCs w:val="18"/>
        </w:rPr>
        <w:t xml:space="preserve">GENERAL_TERMS_AND_CONDITIONS_OF_SALE_MASTER_EN.md</w:t>
      </w:r>
    </w:p>
    <w:p>
      <w:pPr>
        <w:spacing w:after="40" w:before="160"/>
      </w:pPr>
      <w:r>
        <w:rPr>
          <w:rFonts w:ascii="Calibri" w:cs="Calibri" w:eastAsia="Calibri" w:hAnsi="Calibri"/>
          <w:b/>
          <w:bCs/>
          <w:color w:val="222222"/>
          <w:sz w:val="21"/>
          <w:szCs w:val="21"/>
        </w:rPr>
        <w:t xml:space="preserve">Retention of title is the weaker "all-monies" form.</w:t>
      </w:r>
    </w:p>
    <w:p>
      <w:pPr>
        <w:spacing w:after="40"/>
        <w:jc w:val="both"/>
      </w:pPr>
      <w:r>
        <w:rPr>
          <w:rFonts w:ascii="Calibri" w:cs="Calibri" w:eastAsia="Calibri" w:hAnsi="Calibri"/>
          <w:color w:val="222222"/>
          <w:sz w:val="21"/>
          <w:szCs w:val="21"/>
        </w:rPr>
        <w:t xml:space="preserve">Title is reserved until payment of "all amounts due," securing unrelated debts; Danish courts are more sceptical of such extended clauses, and the goods must stay identifiable and unprocessed to remain effective.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Narrow the clause to the price of the specific delivery and address loss of retention once goods are processed, resold or commingled.</w:t>
      </w:r>
    </w:p>
    <w:p>
      <w:pPr>
        <w:spacing w:after="40" w:before="160"/>
      </w:pPr>
      <w:r>
        <w:rPr>
          <w:rFonts w:ascii="Calibri" w:cs="Calibri" w:eastAsia="Calibri" w:hAnsi="Calibri"/>
          <w:b/>
          <w:bCs/>
          <w:color w:val="222222"/>
          <w:sz w:val="21"/>
          <w:szCs w:val="21"/>
        </w:rPr>
        <w:t xml:space="preserve">CISG exclusion is missing.</w:t>
      </w:r>
    </w:p>
    <w:p>
      <w:pPr>
        <w:spacing w:after="40"/>
        <w:jc w:val="both"/>
      </w:pPr>
      <w:r>
        <w:rPr>
          <w:rFonts w:ascii="Calibri" w:cs="Calibri" w:eastAsia="Calibri" w:hAnsi="Calibri"/>
          <w:color w:val="222222"/>
          <w:sz w:val="21"/>
          <w:szCs w:val="21"/>
        </w:rPr>
        <w:t xml:space="preserve">Cross-border sales default to CISG rather than Købeloven or the Terms' own regime.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CISG-exclusion clause.</w:t>
      </w:r>
    </w:p>
    <w:p>
      <w:pPr>
        <w:spacing w:after="40" w:before="160"/>
      </w:pPr>
      <w:r>
        <w:rPr>
          <w:rFonts w:ascii="Calibri" w:cs="Calibri" w:eastAsia="Calibri" w:hAnsi="Calibri"/>
          <w:b/>
          <w:bCs/>
          <w:color w:val="222222"/>
          <w:sz w:val="21"/>
          <w:szCs w:val="21"/>
        </w:rPr>
        <w:t xml:space="preserve">Late-payment interest rate is unstated.</w:t>
      </w:r>
    </w:p>
    <w:p>
      <w:pPr>
        <w:spacing w:after="40"/>
        <w:jc w:val="both"/>
      </w:pPr>
      <w:r>
        <w:rPr>
          <w:rFonts w:ascii="Calibri" w:cs="Calibri" w:eastAsia="Calibri" w:hAnsi="Calibri"/>
          <w:color w:val="222222"/>
          <w:sz w:val="21"/>
          <w:szCs w:val="21"/>
        </w:rPr>
        <w:t xml:space="preserve">"Statutory interest shall accrue" without naming the rate forfeits the ability to charge a commercially realistic (negotiable) rate.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the agreed rate and separately reference the mandatory fixed recovery-cost fee.</w:t>
      </w:r>
    </w:p>
    <w:p>
      <w:pPr>
        <w:spacing w:after="40" w:before="160"/>
      </w:pPr>
      <w:r>
        <w:rPr>
          <w:rFonts w:ascii="Calibri" w:cs="Calibri" w:eastAsia="Calibri" w:hAnsi="Calibri"/>
          <w:b/>
          <w:bCs/>
          <w:color w:val="222222"/>
          <w:sz w:val="21"/>
          <w:szCs w:val="21"/>
        </w:rPr>
        <w:t xml:space="preserve">No B2B-only carve-out.</w:t>
      </w:r>
    </w:p>
    <w:p>
      <w:pPr>
        <w:spacing w:after="40"/>
        <w:jc w:val="both"/>
      </w:pPr>
      <w:r>
        <w:rPr>
          <w:rFonts w:ascii="Calibri" w:cs="Calibri" w:eastAsia="Calibri" w:hAnsi="Calibri"/>
          <w:color w:val="222222"/>
          <w:sz w:val="21"/>
          <w:szCs w:val="21"/>
        </w:rPr>
        <w:t xml:space="preserve">The absolute "failure to notify = acceptance" forfeiture and the liability cap / indirect-damages exclusion would be unenforceable against a consumer, who has non-waivable complaint rights.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expressly that the Terms apply only to business customers.</w:t>
      </w:r>
    </w:p>
    <w:p>
      <w:pPr>
        <w:spacing w:after="40" w:before="160"/>
      </w:pPr>
      <w:r>
        <w:rPr>
          <w:rFonts w:ascii="Calibri" w:cs="Calibri" w:eastAsia="Calibri" w:hAnsi="Calibri"/>
          <w:b/>
          <w:bCs/>
          <w:color w:val="222222"/>
          <w:sz w:val="21"/>
          <w:szCs w:val="21"/>
        </w:rPr>
        <w:t xml:space="preserve">Liability cap does not carve out product liability.</w:t>
      </w:r>
    </w:p>
    <w:p>
      <w:pPr>
        <w:spacing w:after="40"/>
        <w:jc w:val="both"/>
      </w:pPr>
      <w:r>
        <w:rPr>
          <w:rFonts w:ascii="Calibri" w:cs="Calibri" w:eastAsia="Calibri" w:hAnsi="Calibri"/>
          <w:color w:val="222222"/>
          <w:sz w:val="21"/>
          <w:szCs w:val="21"/>
        </w:rPr>
        <w:t xml:space="preserve">The cap and indirect-damages exclusion do not exempt claims under the Produktansvarsloven, which imposes strict non-excludable liability toward the injured party.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carve-out for Produktansvarsloven liability.</w:t>
      </w:r>
    </w:p>
    <w:p>
      <w:pPr>
        <w:pStyle w:val="Heading2"/>
        <w:spacing w:after="20" w:before="180"/>
      </w:pPr>
      <w:r>
        <w:rPr>
          <w:rFonts w:ascii="Calibri" w:cs="Calibri" w:eastAsia="Calibri" w:hAnsi="Calibri"/>
          <w:b/>
          <w:bCs/>
          <w:color w:val="2E5AAC"/>
          <w:sz w:val="26"/>
          <w:szCs w:val="26"/>
        </w:rPr>
        <w:t xml:space="preserve">Service Agreement</w:t>
      </w:r>
    </w:p>
    <w:p>
      <w:pPr>
        <w:spacing w:after="60"/>
      </w:pPr>
      <w:r>
        <w:rPr>
          <w:rFonts w:ascii="Calibri" w:cs="Calibri" w:eastAsia="Calibri" w:hAnsi="Calibri"/>
          <w:i/>
          <w:iCs/>
          <w:color w:val="595959"/>
          <w:sz w:val="18"/>
          <w:szCs w:val="18"/>
        </w:rPr>
        <w:t xml:space="preserve">SERVICE_AGREEMENT_MASTER_EN.md</w:t>
      </w:r>
    </w:p>
    <w:p>
      <w:pPr>
        <w:spacing w:after="40" w:before="160"/>
      </w:pPr>
      <w:r>
        <w:rPr>
          <w:rFonts w:ascii="Calibri" w:cs="Calibri" w:eastAsia="Calibri" w:hAnsi="Calibri"/>
          <w:b/>
          <w:bCs/>
          <w:color w:val="222222"/>
          <w:sz w:val="21"/>
          <w:szCs w:val="21"/>
        </w:rPr>
        <w:t xml:space="preserve">Late-payment interest is unspecified.</w:t>
      </w:r>
    </w:p>
    <w:p>
      <w:pPr>
        <w:spacing w:after="40"/>
        <w:jc w:val="both"/>
      </w:pPr>
      <w:r>
        <w:rPr>
          <w:rFonts w:ascii="Calibri" w:cs="Calibri" w:eastAsia="Calibri" w:hAnsi="Calibri"/>
          <w:color w:val="222222"/>
          <w:sz w:val="21"/>
          <w:szCs w:val="21"/>
        </w:rPr>
        <w:t xml:space="preserve">"Statutory interest and reasonable recovery costs" are referenced without naming a rate or the mandatory fixed fee.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an agreed rate and add the mandatory recovery-cost fee.</w:t>
      </w:r>
    </w:p>
    <w:p>
      <w:pPr>
        <w:spacing w:after="40" w:before="160"/>
      </w:pPr>
      <w:r>
        <w:rPr>
          <w:rFonts w:ascii="Calibri" w:cs="Calibri" w:eastAsia="Calibri" w:hAnsi="Calibri"/>
          <w:b/>
          <w:bCs/>
          <w:color w:val="222222"/>
          <w:sz w:val="21"/>
          <w:szCs w:val="21"/>
        </w:rPr>
        <w:t xml:space="preserve">"As is" disclaimer contradicts the professional-standard warranty.</w:t>
      </w:r>
    </w:p>
    <w:p>
      <w:pPr>
        <w:spacing w:after="40"/>
        <w:jc w:val="both"/>
      </w:pPr>
      <w:r>
        <w:rPr>
          <w:rFonts w:ascii="Calibri" w:cs="Calibri" w:eastAsia="Calibri" w:hAnsi="Calibri"/>
          <w:color w:val="222222"/>
          <w:sz w:val="21"/>
          <w:szCs w:val="21"/>
        </w:rPr>
        <w:t xml:space="preserve">The Provider promises "reasonable skill, care and professional diligence" but elsewhere disclaims everything and calls the Services "as is" — an internal inconsistency read against the Provider.</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Remove or narrow the "as is" language so it does not conflict with the professional-standard obligation.</w:t>
      </w:r>
    </w:p>
    <w:p>
      <w:pPr>
        <w:spacing w:after="40" w:before="160"/>
      </w:pPr>
      <w:r>
        <w:rPr>
          <w:rFonts w:ascii="Calibri" w:cs="Calibri" w:eastAsia="Calibri" w:hAnsi="Calibri"/>
          <w:b/>
          <w:bCs/>
          <w:color w:val="222222"/>
          <w:sz w:val="21"/>
          <w:szCs w:val="21"/>
        </w:rPr>
        <w:t xml:space="preserve">DPA timing is left open.</w:t>
      </w:r>
    </w:p>
    <w:p>
      <w:pPr>
        <w:spacing w:after="40"/>
        <w:jc w:val="both"/>
      </w:pPr>
      <w:r>
        <w:rPr>
          <w:rFonts w:ascii="Calibri" w:cs="Calibri" w:eastAsia="Calibri" w:hAnsi="Calibri"/>
          <w:color w:val="222222"/>
          <w:sz w:val="21"/>
          <w:szCs w:val="21"/>
        </w:rPr>
        <w:t xml:space="preserve">A separate DPA is required only "if" personal data is processed, without requiring it before processing starts; processing without a valid Article 28 agreement is itself a breach.</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Require the DPA before any personal-data processing begins and add a GDPR-compliance representation.</w:t>
      </w:r>
    </w:p>
    <w:p>
      <w:pPr>
        <w:spacing w:after="40" w:before="160"/>
      </w:pPr>
      <w:r>
        <w:rPr>
          <w:rFonts w:ascii="Calibri" w:cs="Calibri" w:eastAsia="Calibri" w:hAnsi="Calibri"/>
          <w:b/>
          <w:bCs/>
          <w:color w:val="222222"/>
          <w:sz w:val="21"/>
          <w:szCs w:val="21"/>
        </w:rPr>
        <w:t xml:space="preserve">Rights to unpaid work at termination are unclear.</w:t>
      </w:r>
    </w:p>
    <w:p>
      <w:pPr>
        <w:spacing w:after="40"/>
        <w:jc w:val="both"/>
      </w:pPr>
      <w:r>
        <w:rPr>
          <w:rFonts w:ascii="Calibri" w:cs="Calibri" w:eastAsia="Calibri" w:hAnsi="Calibri"/>
          <w:color w:val="222222"/>
          <w:sz w:val="21"/>
          <w:szCs w:val="21"/>
        </w:rPr>
        <w:t xml:space="preserve">Ownership transfers on full payment, but nothing says what rights the Customer has to use delivered work if final payment (and IP transfer) has not occurred.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fallback licence pending payment, converting to ownership once paid.</w:t>
      </w:r>
    </w:p>
    <w:p>
      <w:pPr>
        <w:spacing w:after="40" w:before="160"/>
      </w:pPr>
      <w:r>
        <w:rPr>
          <w:rFonts w:ascii="Calibri" w:cs="Calibri" w:eastAsia="Calibri" w:hAnsi="Calibri"/>
          <w:b/>
          <w:bCs/>
          <w:color w:val="222222"/>
          <w:sz w:val="21"/>
          <w:szCs w:val="21"/>
        </w:rPr>
        <w:t xml:space="preserve">Force majeure has no long-stop.</w:t>
      </w:r>
    </w:p>
    <w:p>
      <w:pPr>
        <w:spacing w:after="40"/>
        <w:jc w:val="both"/>
      </w:pPr>
      <w:r>
        <w:rPr>
          <w:rFonts w:ascii="Calibri" w:cs="Calibri" w:eastAsia="Calibri" w:hAnsi="Calibri"/>
          <w:color w:val="222222"/>
          <w:sz w:val="21"/>
          <w:szCs w:val="21"/>
        </w:rPr>
        <w:t xml:space="preserve">Obligations are suspended for the duration of a force-majeure event with no maximum period, risking an indefinitely stalled contract.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right to terminate if force majeure continues beyond a stated period (e.g. 60–90 days).</w:t>
      </w:r>
    </w:p>
    <w:p>
      <w:pPr>
        <w:pStyle w:val="Heading2"/>
        <w:spacing w:after="20" w:before="180"/>
      </w:pPr>
      <w:r>
        <w:rPr>
          <w:rFonts w:ascii="Calibri" w:cs="Calibri" w:eastAsia="Calibri" w:hAnsi="Calibri"/>
          <w:b/>
          <w:bCs/>
          <w:color w:val="2E5AAC"/>
          <w:sz w:val="26"/>
          <w:szCs w:val="26"/>
        </w:rPr>
        <w:t xml:space="preserve">Payment Agreement</w:t>
      </w:r>
    </w:p>
    <w:p>
      <w:pPr>
        <w:spacing w:after="60"/>
      </w:pPr>
      <w:r>
        <w:rPr>
          <w:rFonts w:ascii="Calibri" w:cs="Calibri" w:eastAsia="Calibri" w:hAnsi="Calibri"/>
          <w:i/>
          <w:iCs/>
          <w:color w:val="595959"/>
          <w:sz w:val="18"/>
          <w:szCs w:val="18"/>
        </w:rPr>
        <w:t xml:space="preserve">PAYMENT_AGREEMENT_MASTER_EN.md</w:t>
      </w:r>
    </w:p>
    <w:p>
      <w:pPr>
        <w:spacing w:after="40" w:before="160"/>
      </w:pPr>
      <w:r>
        <w:rPr>
          <w:rFonts w:ascii="Calibri" w:cs="Calibri" w:eastAsia="Calibri" w:hAnsi="Calibri"/>
          <w:b/>
          <w:bCs/>
          <w:color w:val="222222"/>
          <w:sz w:val="21"/>
          <w:szCs w:val="21"/>
        </w:rPr>
        <w:t xml:space="preserve">Interest and consumer-credit status are unresolved.</w:t>
      </w:r>
    </w:p>
    <w:p>
      <w:pPr>
        <w:spacing w:after="40"/>
        <w:jc w:val="both"/>
      </w:pPr>
      <w:r>
        <w:rPr>
          <w:rFonts w:ascii="Calibri" w:cs="Calibri" w:eastAsia="Calibri" w:hAnsi="Calibri"/>
          <w:color w:val="222222"/>
          <w:sz w:val="21"/>
          <w:szCs w:val="21"/>
        </w:rPr>
        <w:t xml:space="preserve">The interest rate is blank and the Debtor may be an individual (CPR allowed); structuring a repayment plan with interest for a consumer may constitute "credit" triggering disclosure obligations a B2B template does not address.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Clarify whether the Debtor is a business or consumer, state the interest mechanism, and add consumer-credit disclosures if an individual debtor is contemplated.</w:t>
      </w:r>
    </w:p>
    <w:p>
      <w:pPr>
        <w:spacing w:after="40" w:before="160"/>
      </w:pPr>
      <w:r>
        <w:rPr>
          <w:rFonts w:ascii="Calibri" w:cs="Calibri" w:eastAsia="Calibri" w:hAnsi="Calibri"/>
          <w:b/>
          <w:bCs/>
          <w:color w:val="222222"/>
          <w:sz w:val="21"/>
          <w:szCs w:val="21"/>
        </w:rPr>
        <w:t xml:space="preserve">Debt-acknowledgement limitation effect is not spelled out.</w:t>
      </w:r>
    </w:p>
    <w:p>
      <w:pPr>
        <w:spacing w:after="40"/>
        <w:jc w:val="both"/>
      </w:pPr>
      <w:r>
        <w:rPr>
          <w:rFonts w:ascii="Calibri" w:cs="Calibri" w:eastAsia="Calibri" w:hAnsi="Calibri"/>
          <w:color w:val="222222"/>
          <w:sz w:val="21"/>
          <w:szCs w:val="21"/>
        </w:rPr>
        <w:t xml:space="preserve">The Debtor "acknowledges" the debt — which under Danish law interrupts / restarts the limitation period (forældelse), valuable for older debts — but the agreement never says so.</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statement that the acknowledgement interrupts the limitation period under the Danish Limitation Act.</w:t>
      </w:r>
    </w:p>
    <w:p>
      <w:pPr>
        <w:spacing w:after="40" w:before="160"/>
      </w:pPr>
      <w:r>
        <w:rPr>
          <w:rFonts w:ascii="Calibri" w:cs="Calibri" w:eastAsia="Calibri" w:hAnsi="Calibri"/>
          <w:b/>
          <w:bCs/>
          <w:color w:val="222222"/>
          <w:sz w:val="21"/>
          <w:szCs w:val="21"/>
        </w:rPr>
        <w:t xml:space="preserve">Acceleration has no cure step for a consumer.</w:t>
      </w:r>
    </w:p>
    <w:p>
      <w:pPr>
        <w:spacing w:after="40"/>
        <w:jc w:val="both"/>
      </w:pPr>
      <w:r>
        <w:rPr>
          <w:rFonts w:ascii="Calibri" w:cs="Calibri" w:eastAsia="Calibri" w:hAnsi="Calibri"/>
          <w:color w:val="222222"/>
          <w:sz w:val="21"/>
          <w:szCs w:val="21"/>
        </w:rPr>
        <w:t xml:space="preserve">The full balance accelerates immediately on a single missed instalment with no warning — a candidate for challenge under Aftaleloven §36 or consumer-credit protections.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mandatory prior written warning and short cure window before acceleration, at least for an individual debtor.</w:t>
      </w:r>
    </w:p>
    <w:p>
      <w:pPr>
        <w:spacing w:after="40" w:before="160"/>
      </w:pPr>
      <w:r>
        <w:rPr>
          <w:rFonts w:ascii="Calibri" w:cs="Calibri" w:eastAsia="Calibri" w:hAnsi="Calibri"/>
          <w:b/>
          <w:bCs/>
          <w:color w:val="222222"/>
          <w:sz w:val="21"/>
          <w:szCs w:val="21"/>
        </w:rPr>
        <w:t xml:space="preserve">Personal guarantee has no guarantor safeguards.</w:t>
      </w:r>
    </w:p>
    <w:p>
      <w:pPr>
        <w:spacing w:after="40"/>
        <w:jc w:val="both"/>
      </w:pPr>
      <w:r>
        <w:rPr>
          <w:rFonts w:ascii="Calibri" w:cs="Calibri" w:eastAsia="Calibri" w:hAnsi="Calibri"/>
          <w:color w:val="222222"/>
          <w:sz w:val="21"/>
          <w:szCs w:val="21"/>
        </w:rPr>
        <w:t xml:space="preserve">A personal guarantee is allowed with no protections for an individual guarantor (risk disclosure, stated cap); Danish suretyship (kaution) and consumer rules expect these.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For an individual guarantor, add disclosure requirements and cap liability to the underlying debt.</w:t>
      </w:r>
    </w:p>
    <w:p>
      <w:pPr>
        <w:spacing w:after="40" w:before="160"/>
      </w:pPr>
      <w:r>
        <w:rPr>
          <w:rFonts w:ascii="Calibri" w:cs="Calibri" w:eastAsia="Calibri" w:hAnsi="Calibri"/>
          <w:b/>
          <w:bCs/>
          <w:color w:val="222222"/>
          <w:sz w:val="21"/>
          <w:szCs w:val="21"/>
        </w:rPr>
        <w:t xml:space="preserve">No order of application for partial payments.</w:t>
      </w:r>
    </w:p>
    <w:p>
      <w:pPr>
        <w:spacing w:after="40"/>
        <w:jc w:val="both"/>
      </w:pPr>
      <w:r>
        <w:rPr>
          <w:rFonts w:ascii="Calibri" w:cs="Calibri" w:eastAsia="Calibri" w:hAnsi="Calibri"/>
          <w:color w:val="222222"/>
          <w:sz w:val="21"/>
          <w:szCs w:val="21"/>
        </w:rPr>
        <w:t xml:space="preserve">Nothing says how a partial payment is allocated between principal, interest and costs.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application order (costs, then interest, then principal).</w:t>
      </w:r>
    </w:p>
    <w:p>
      <w:r>
        <w:br w:type="page"/>
      </w:r>
    </w:p>
    <w:p>
      <w:pPr>
        <w:pStyle w:val="Heading1"/>
        <w:spacing w:after="40" w:before="60"/>
      </w:pPr>
      <w:r>
        <w:rPr>
          <w:rFonts w:ascii="Calibri" w:cs="Calibri" w:eastAsia="Calibri" w:hAnsi="Calibri"/>
          <w:b/>
          <w:bCs/>
          <w:color w:val="1F3864"/>
          <w:sz w:val="32"/>
          <w:szCs w:val="32"/>
        </w:rPr>
        <w:t xml:space="preserve">IP, Licensing &amp; Data</w:t>
      </w:r>
    </w:p>
    <w:p>
      <w:pPr>
        <w:pBdr>
          <w:bottom w:val="single" w:color="2E5AAC" w:sz="12" w:space="6"/>
        </w:pBdr>
        <w:spacing w:after="160"/>
      </w:pPr>
    </w:p>
    <w:p>
      <w:pPr>
        <w:pStyle w:val="Heading2"/>
        <w:spacing w:after="20" w:before="180"/>
      </w:pPr>
      <w:r>
        <w:rPr>
          <w:rFonts w:ascii="Calibri" w:cs="Calibri" w:eastAsia="Calibri" w:hAnsi="Calibri"/>
          <w:b/>
          <w:bCs/>
          <w:color w:val="2E5AAC"/>
          <w:sz w:val="26"/>
          <w:szCs w:val="26"/>
        </w:rPr>
        <w:t xml:space="preserve">Exclusive License Agreement</w:t>
      </w:r>
    </w:p>
    <w:p>
      <w:pPr>
        <w:spacing w:after="60"/>
      </w:pPr>
      <w:r>
        <w:rPr>
          <w:rFonts w:ascii="Calibri" w:cs="Calibri" w:eastAsia="Calibri" w:hAnsi="Calibri"/>
          <w:i/>
          <w:iCs/>
          <w:color w:val="595959"/>
          <w:sz w:val="18"/>
          <w:szCs w:val="18"/>
        </w:rPr>
        <w:t xml:space="preserve">EXCLUSIVE_LICENSE_AGREEMENT_MASTER_EN.md</w:t>
      </w:r>
    </w:p>
    <w:p>
      <w:pPr>
        <w:spacing w:after="40" w:before="160"/>
      </w:pPr>
      <w:r>
        <w:rPr>
          <w:rFonts w:ascii="Calibri" w:cs="Calibri" w:eastAsia="Calibri" w:hAnsi="Calibri"/>
          <w:b/>
          <w:bCs/>
          <w:color w:val="222222"/>
          <w:sz w:val="21"/>
          <w:szCs w:val="21"/>
        </w:rPr>
        <w:t xml:space="preserve">Moral rights are not addressed.</w:t>
      </w:r>
    </w:p>
    <w:p>
      <w:pPr>
        <w:spacing w:after="40"/>
        <w:jc w:val="both"/>
      </w:pPr>
      <w:r>
        <w:rPr>
          <w:rFonts w:ascii="Calibri" w:cs="Calibri" w:eastAsia="Calibri" w:hAnsi="Calibri"/>
          <w:color w:val="222222"/>
          <w:sz w:val="21"/>
          <w:szCs w:val="21"/>
        </w:rPr>
        <w:t xml:space="preserve">The material may include copyright works, yet nothing mentions the author's droit moral under Ophavsretsloven §3; these personal rights cannot be transferred or waived wholesale — at most the holder agrees not to exercise them for a use limited in nature and scope.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undertaking (procured from the actual author if different) not to invoke attribution / integrity rights against uses within the agreed Scope of Use.</w:t>
      </w:r>
    </w:p>
    <w:p>
      <w:pPr>
        <w:spacing w:after="40" w:before="160"/>
      </w:pPr>
      <w:r>
        <w:rPr>
          <w:rFonts w:ascii="Calibri" w:cs="Calibri" w:eastAsia="Calibri" w:hAnsi="Calibri"/>
          <w:b/>
          <w:bCs/>
          <w:color w:val="222222"/>
          <w:sz w:val="21"/>
          <w:szCs w:val="21"/>
        </w:rPr>
        <w:t xml:space="preserve">No royalty verification mechanism.</w:t>
      </w:r>
    </w:p>
    <w:p>
      <w:pPr>
        <w:spacing w:after="40"/>
        <w:jc w:val="both"/>
      </w:pPr>
      <w:r>
        <w:rPr>
          <w:rFonts w:ascii="Calibri" w:cs="Calibri" w:eastAsia="Calibri" w:hAnsi="Calibri"/>
          <w:color w:val="222222"/>
          <w:sz w:val="21"/>
          <w:szCs w:val="21"/>
        </w:rPr>
        <w:t xml:space="preserve">A usage- or sales-based fee is allowed but the Licensor has no right to statements or audit — critical since exclusivity removes its own market visibility.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reporting obligation and an audit right (reasonable notice, limited frequency, Licensee pays for material under-reporting).</w:t>
      </w:r>
    </w:p>
    <w:p>
      <w:pPr>
        <w:spacing w:after="40" w:before="160"/>
      </w:pPr>
      <w:r>
        <w:rPr>
          <w:rFonts w:ascii="Calibri" w:cs="Calibri" w:eastAsia="Calibri" w:hAnsi="Calibri"/>
          <w:b/>
          <w:bCs/>
          <w:color w:val="222222"/>
          <w:sz w:val="21"/>
          <w:szCs w:val="21"/>
        </w:rPr>
        <w:t xml:space="preserve">No infringement-enforcement provision.</w:t>
      </w:r>
    </w:p>
    <w:p>
      <w:pPr>
        <w:spacing w:after="40"/>
        <w:jc w:val="both"/>
      </w:pPr>
      <w:r>
        <w:rPr>
          <w:rFonts w:ascii="Calibri" w:cs="Calibri" w:eastAsia="Calibri" w:hAnsi="Calibri"/>
          <w:color w:val="222222"/>
          <w:sz w:val="21"/>
          <w:szCs w:val="21"/>
        </w:rPr>
        <w:t xml:space="preserve">As the grant is exclusive, the Licensee will often need standing or cooperation to pursue infringers, but the agreement is silent on who may sue and how costs / recoveries are shared.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enforcement clause: Licensee first right to act, Licensor cooperation duty, Licensor fallback right.</w:t>
      </w:r>
    </w:p>
    <w:p>
      <w:pPr>
        <w:spacing w:after="40" w:before="160"/>
      </w:pPr>
      <w:r>
        <w:rPr>
          <w:rFonts w:ascii="Calibri" w:cs="Calibri" w:eastAsia="Calibri" w:hAnsi="Calibri"/>
          <w:b/>
          <w:bCs/>
          <w:color w:val="222222"/>
          <w:sz w:val="21"/>
          <w:szCs w:val="21"/>
        </w:rPr>
        <w:t xml:space="preserve">Ownership of improvements is unresolved.</w:t>
      </w:r>
    </w:p>
    <w:p>
      <w:pPr>
        <w:spacing w:after="40"/>
        <w:jc w:val="both"/>
      </w:pPr>
      <w:r>
        <w:rPr>
          <w:rFonts w:ascii="Calibri" w:cs="Calibri" w:eastAsia="Calibri" w:hAnsi="Calibri"/>
          <w:color w:val="222222"/>
          <w:sz w:val="21"/>
          <w:szCs w:val="21"/>
        </w:rPr>
        <w:t xml:space="preserve">Derivative works are barred "unless expressly permitted" but the agreement never says who owns any permitted modifications.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Allocate ownership of permitted derivative works (e.g. to the Licensor with a licence-back).</w:t>
      </w:r>
    </w:p>
    <w:p>
      <w:pPr>
        <w:spacing w:after="40" w:before="160"/>
      </w:pPr>
      <w:r>
        <w:rPr>
          <w:rFonts w:ascii="Calibri" w:cs="Calibri" w:eastAsia="Calibri" w:hAnsi="Calibri"/>
          <w:b/>
          <w:bCs/>
          <w:color w:val="222222"/>
          <w:sz w:val="21"/>
          <w:szCs w:val="21"/>
        </w:rPr>
        <w:t xml:space="preserve">No recordal of the exclusive licence.</w:t>
      </w:r>
    </w:p>
    <w:p>
      <w:pPr>
        <w:spacing w:after="40"/>
        <w:jc w:val="both"/>
      </w:pPr>
      <w:r>
        <w:rPr>
          <w:rFonts w:ascii="Calibri" w:cs="Calibri" w:eastAsia="Calibri" w:hAnsi="Calibri"/>
          <w:color w:val="222222"/>
          <w:sz w:val="21"/>
          <w:szCs w:val="21"/>
        </w:rPr>
        <w:t xml:space="preserve">For patents, trademarks or designs, an exclusive licence is normally recordable with the Danish PTO (and EU equivalents), strengthening the Licensee against third parties.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Licensor cooperation obligation to register the licence, with cost allocation.</w:t>
      </w:r>
    </w:p>
    <w:p>
      <w:pPr>
        <w:pStyle w:val="Heading2"/>
        <w:spacing w:after="20" w:before="180"/>
      </w:pPr>
      <w:r>
        <w:rPr>
          <w:rFonts w:ascii="Calibri" w:cs="Calibri" w:eastAsia="Calibri" w:hAnsi="Calibri"/>
          <w:b/>
          <w:bCs/>
          <w:color w:val="2E5AAC"/>
          <w:sz w:val="26"/>
          <w:szCs w:val="26"/>
        </w:rPr>
        <w:t xml:space="preserve">Non-Exclusive License Agreement</w:t>
      </w:r>
    </w:p>
    <w:p>
      <w:pPr>
        <w:spacing w:after="60"/>
      </w:pPr>
      <w:r>
        <w:rPr>
          <w:rFonts w:ascii="Calibri" w:cs="Calibri" w:eastAsia="Calibri" w:hAnsi="Calibri"/>
          <w:i/>
          <w:iCs/>
          <w:color w:val="595959"/>
          <w:sz w:val="18"/>
          <w:szCs w:val="18"/>
        </w:rPr>
        <w:t xml:space="preserve">NON_EXCLUSIVE_LICENSE_AGREEMENT_MASTER_EN.md</w:t>
      </w:r>
    </w:p>
    <w:p>
      <w:pPr>
        <w:spacing w:after="40" w:before="160"/>
      </w:pPr>
      <w:r>
        <w:rPr>
          <w:rFonts w:ascii="Calibri" w:cs="Calibri" w:eastAsia="Calibri" w:hAnsi="Calibri"/>
          <w:b/>
          <w:bCs/>
          <w:color w:val="222222"/>
          <w:sz w:val="21"/>
          <w:szCs w:val="21"/>
        </w:rPr>
        <w:t xml:space="preserve">Moral rights are not addressed.</w:t>
      </w:r>
    </w:p>
    <w:p>
      <w:pPr>
        <w:spacing w:after="40"/>
        <w:jc w:val="both"/>
      </w:pPr>
      <w:r>
        <w:rPr>
          <w:rFonts w:ascii="Calibri" w:cs="Calibri" w:eastAsia="Calibri" w:hAnsi="Calibri"/>
          <w:color w:val="222222"/>
          <w:sz w:val="21"/>
          <w:szCs w:val="21"/>
        </w:rPr>
        <w:t xml:space="preserve">Ophavsretsloven §3 moral rights cannot be waived in blanket terms and are not mentioned at all.</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limited non-assertion clause tied to the agreed Scope of Use.</w:t>
      </w:r>
    </w:p>
    <w:p>
      <w:pPr>
        <w:spacing w:after="40" w:before="160"/>
      </w:pPr>
      <w:r>
        <w:rPr>
          <w:rFonts w:ascii="Calibri" w:cs="Calibri" w:eastAsia="Calibri" w:hAnsi="Calibri"/>
          <w:b/>
          <w:bCs/>
          <w:color w:val="222222"/>
          <w:sz w:val="21"/>
          <w:szCs w:val="21"/>
        </w:rPr>
        <w:t xml:space="preserve">No IP-infringement indemnity for the Licensee.</w:t>
      </w:r>
    </w:p>
    <w:p>
      <w:pPr>
        <w:spacing w:after="40"/>
        <w:jc w:val="both"/>
      </w:pPr>
      <w:r>
        <w:rPr>
          <w:rFonts w:ascii="Calibri" w:cs="Calibri" w:eastAsia="Calibri" w:hAnsi="Calibri"/>
          <w:color w:val="222222"/>
          <w:sz w:val="21"/>
          <w:szCs w:val="21"/>
        </w:rPr>
        <w:t xml:space="preserve">The Licensor only warrants it has the right to grant the licence; there is no indemnity if a third party claims the material infringes, leaving a paying Licensee exposed.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Licensor indemnity for third-party IP claims, with carve-outs for Licensee modifications / misuse and a cap tied to fees.</w:t>
      </w:r>
    </w:p>
    <w:p>
      <w:pPr>
        <w:spacing w:after="40" w:before="160"/>
      </w:pPr>
      <w:r>
        <w:rPr>
          <w:rFonts w:ascii="Calibri" w:cs="Calibri" w:eastAsia="Calibri" w:hAnsi="Calibri"/>
          <w:b/>
          <w:bCs/>
          <w:color w:val="222222"/>
          <w:sz w:val="21"/>
          <w:szCs w:val="21"/>
        </w:rPr>
        <w:t xml:space="preserve">No obligation to return / destroy copies on termination.</w:t>
      </w:r>
    </w:p>
    <w:p>
      <w:pPr>
        <w:spacing w:after="40"/>
        <w:jc w:val="both"/>
      </w:pPr>
      <w:r>
        <w:rPr>
          <w:rFonts w:ascii="Calibri" w:cs="Calibri" w:eastAsia="Calibri" w:hAnsi="Calibri"/>
          <w:color w:val="222222"/>
          <w:sz w:val="21"/>
          <w:szCs w:val="21"/>
        </w:rPr>
        <w:t xml:space="preserve">Survival of some clauses is addressed but the Licensee is never required to delete or return copies once the licence ends.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post-termination deletion / return obligation with written confirmation.</w:t>
      </w:r>
    </w:p>
    <w:p>
      <w:pPr>
        <w:spacing w:after="40" w:before="160"/>
      </w:pPr>
      <w:r>
        <w:rPr>
          <w:rFonts w:ascii="Calibri" w:cs="Calibri" w:eastAsia="Calibri" w:hAnsi="Calibri"/>
          <w:b/>
          <w:bCs/>
          <w:color w:val="222222"/>
          <w:sz w:val="21"/>
          <w:szCs w:val="21"/>
        </w:rPr>
        <w:t xml:space="preserve">Liability cap has no carve-outs.</w:t>
      </w:r>
    </w:p>
    <w:p>
      <w:pPr>
        <w:spacing w:after="40"/>
        <w:jc w:val="both"/>
      </w:pPr>
      <w:r>
        <w:rPr>
          <w:rFonts w:ascii="Calibri" w:cs="Calibri" w:eastAsia="Calibri" w:hAnsi="Calibri"/>
          <w:color w:val="222222"/>
          <w:sz w:val="21"/>
          <w:szCs w:val="21"/>
        </w:rPr>
        <w:t xml:space="preserve">The cap applies uniformly, with no exclusion for confidentiality breaches or out-of-scope use — often the most damaging scenario.</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Carve out confidentiality breaches and out-of-scope IP misuse from the cap.</w:t>
      </w:r>
    </w:p>
    <w:p>
      <w:pPr>
        <w:pStyle w:val="Heading2"/>
        <w:spacing w:after="20" w:before="180"/>
      </w:pPr>
      <w:r>
        <w:rPr>
          <w:rFonts w:ascii="Calibri" w:cs="Calibri" w:eastAsia="Calibri" w:hAnsi="Calibri"/>
          <w:b/>
          <w:bCs/>
          <w:color w:val="2E5AAC"/>
          <w:sz w:val="26"/>
          <w:szCs w:val="26"/>
        </w:rPr>
        <w:t xml:space="preserve">Intellectual Property Assignment Agreement</w:t>
      </w:r>
    </w:p>
    <w:p>
      <w:pPr>
        <w:spacing w:after="60"/>
      </w:pPr>
      <w:r>
        <w:rPr>
          <w:rFonts w:ascii="Calibri" w:cs="Calibri" w:eastAsia="Calibri" w:hAnsi="Calibri"/>
          <w:i/>
          <w:iCs/>
          <w:color w:val="595959"/>
          <w:sz w:val="18"/>
          <w:szCs w:val="18"/>
        </w:rPr>
        <w:t xml:space="preserve">INTELLECTUAL_PROPERTY_ASSIGNMENT_AGREEMENT_MASTER_EN.md</w:t>
      </w:r>
    </w:p>
    <w:p>
      <w:pPr>
        <w:spacing w:after="40" w:before="160"/>
      </w:pPr>
      <w:r>
        <w:rPr>
          <w:rFonts w:ascii="Calibri" w:cs="Calibri" w:eastAsia="Calibri" w:hAnsi="Calibri"/>
          <w:b/>
          <w:bCs/>
          <w:color w:val="222222"/>
          <w:sz w:val="21"/>
          <w:szCs w:val="21"/>
        </w:rPr>
        <w:t xml:space="preserve">Purported full moral-rights waiver is not effective.</w:t>
      </w:r>
    </w:p>
    <w:p>
      <w:pPr>
        <w:spacing w:after="40"/>
        <w:jc w:val="both"/>
      </w:pPr>
      <w:r>
        <w:rPr>
          <w:rFonts w:ascii="Calibri" w:cs="Calibri" w:eastAsia="Calibri" w:hAnsi="Calibri"/>
          <w:color w:val="222222"/>
          <w:sz w:val="21"/>
          <w:szCs w:val="21"/>
        </w:rPr>
        <w:t xml:space="preserve">The Assignor "waives any moral rights to the extent permitted by law," but under Ophavsretsloven a blanket waiver is not effective — the holder can only agree not to exercise them for a use limited in nature and scope. As drafted it creates uncertainty about what was secured.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Reframe the clause as a non-assertion undertaking tied to the Company's defined intended exploitation.</w:t>
      </w:r>
    </w:p>
    <w:p>
      <w:pPr>
        <w:spacing w:after="40" w:before="160"/>
      </w:pPr>
      <w:r>
        <w:rPr>
          <w:rFonts w:ascii="Calibri" w:cs="Calibri" w:eastAsia="Calibri" w:hAnsi="Calibri"/>
          <w:b/>
          <w:bCs/>
          <w:color w:val="222222"/>
          <w:sz w:val="21"/>
          <w:szCs w:val="21"/>
        </w:rPr>
        <w:t xml:space="preserve">Statutory employee-invention compensation may override "no additional compensation."</w:t>
      </w:r>
    </w:p>
    <w:p>
      <w:pPr>
        <w:spacing w:after="40"/>
        <w:jc w:val="both"/>
      </w:pPr>
      <w:r>
        <w:rPr>
          <w:rFonts w:ascii="Calibri" w:cs="Calibri" w:eastAsia="Calibri" w:hAnsi="Calibri"/>
          <w:color w:val="222222"/>
          <w:sz w:val="21"/>
          <w:szCs w:val="21"/>
        </w:rPr>
        <w:t xml:space="preserve">The clause says no extra compensation is payable, but Danish law on employee inventions grants a non-waivable right to reasonable additional remuneration where the value significantly exceeds expectations.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carve-out preserving any statutory right to reasonable additional compensation for employee inventions.</w:t>
      </w:r>
    </w:p>
    <w:p>
      <w:pPr>
        <w:spacing w:after="40" w:before="160"/>
      </w:pPr>
      <w:r>
        <w:rPr>
          <w:rFonts w:ascii="Calibri" w:cs="Calibri" w:eastAsia="Calibri" w:hAnsi="Calibri"/>
          <w:b/>
          <w:bCs/>
          <w:color w:val="222222"/>
          <w:sz w:val="21"/>
          <w:szCs w:val="21"/>
        </w:rPr>
        <w:t xml:space="preserve">Confidentiality obligation has no stated duration.</w:t>
      </w:r>
    </w:p>
    <w:p>
      <w:pPr>
        <w:spacing w:after="40"/>
        <w:jc w:val="both"/>
      </w:pPr>
      <w:r>
        <w:rPr>
          <w:rFonts w:ascii="Calibri" w:cs="Calibri" w:eastAsia="Calibri" w:hAnsi="Calibri"/>
          <w:color w:val="222222"/>
          <w:sz w:val="21"/>
          <w:szCs w:val="21"/>
        </w:rPr>
        <w:t xml:space="preserve">The Assignor must keep information confidential but for no stated period, leaving it unclear whether indefinite or effectively unenforceable.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Specify indefinite survival for trade secrets / know-how and a defined period (e.g. 3–5 years) for other information.</w:t>
      </w:r>
    </w:p>
    <w:p>
      <w:pPr>
        <w:spacing w:after="40" w:before="160"/>
      </w:pPr>
      <w:r>
        <w:rPr>
          <w:rFonts w:ascii="Calibri" w:cs="Calibri" w:eastAsia="Calibri" w:hAnsi="Calibri"/>
          <w:b/>
          <w:bCs/>
          <w:color w:val="222222"/>
          <w:sz w:val="21"/>
          <w:szCs w:val="21"/>
        </w:rPr>
        <w:t xml:space="preserve">No registration / recordal obligation for registrable rights.</w:t>
      </w:r>
    </w:p>
    <w:p>
      <w:pPr>
        <w:spacing w:after="40"/>
        <w:jc w:val="both"/>
      </w:pPr>
      <w:r>
        <w:rPr>
          <w:rFonts w:ascii="Calibri" w:cs="Calibri" w:eastAsia="Calibri" w:hAnsi="Calibri"/>
          <w:color w:val="222222"/>
          <w:sz w:val="21"/>
          <w:szCs w:val="21"/>
        </w:rPr>
        <w:t xml:space="preserve">For patents, trademarks and designs, transfer should be recorded to be effective against third parties, but the further-assurances clause is generic.</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explicit recordal obligation naming the registers, with the Company bearing filing costs.</w:t>
      </w:r>
    </w:p>
    <w:p>
      <w:pPr>
        <w:spacing w:after="40" w:before="160"/>
      </w:pPr>
      <w:r>
        <w:rPr>
          <w:rFonts w:ascii="Calibri" w:cs="Calibri" w:eastAsia="Calibri" w:hAnsi="Calibri"/>
          <w:b/>
          <w:bCs/>
          <w:color w:val="222222"/>
          <w:sz w:val="21"/>
          <w:szCs w:val="21"/>
        </w:rPr>
        <w:t xml:space="preserve">Indemnification is uncapped and open-ended.</w:t>
      </w:r>
    </w:p>
    <w:p>
      <w:pPr>
        <w:spacing w:after="40"/>
        <w:jc w:val="both"/>
      </w:pPr>
      <w:r>
        <w:rPr>
          <w:rFonts w:ascii="Calibri" w:cs="Calibri" w:eastAsia="Calibri" w:hAnsi="Calibri"/>
          <w:color w:val="222222"/>
          <w:sz w:val="21"/>
          <w:szCs w:val="21"/>
        </w:rPr>
        <w:t xml:space="preserve">The Company's indemnity for warranty breach has no cap, time limit or claims procedure — potentially unlimited perpetual liability for an individual Assignor, itself challengeable under Aftaleloven §36.</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claims procedure and consider a cap / time limit, especially where the Assignor is an individual.</w:t>
      </w:r>
    </w:p>
    <w:p>
      <w:pPr>
        <w:pStyle w:val="Heading2"/>
        <w:spacing w:after="20" w:before="180"/>
      </w:pPr>
      <w:r>
        <w:rPr>
          <w:rFonts w:ascii="Calibri" w:cs="Calibri" w:eastAsia="Calibri" w:hAnsi="Calibri"/>
          <w:b/>
          <w:bCs/>
          <w:color w:val="2E5AAC"/>
          <w:sz w:val="26"/>
          <w:szCs w:val="26"/>
        </w:rPr>
        <w:t xml:space="preserve">Data Processing Agreement</w:t>
      </w:r>
    </w:p>
    <w:p>
      <w:pPr>
        <w:spacing w:after="60"/>
      </w:pPr>
      <w:r>
        <w:rPr>
          <w:rFonts w:ascii="Calibri" w:cs="Calibri" w:eastAsia="Calibri" w:hAnsi="Calibri"/>
          <w:i/>
          <w:iCs/>
          <w:color w:val="595959"/>
          <w:sz w:val="18"/>
          <w:szCs w:val="18"/>
        </w:rPr>
        <w:t xml:space="preserve">DATA_PROCESSING_AGREEMENT_MASTER_EN.md</w:t>
      </w:r>
    </w:p>
    <w:p>
      <w:pPr>
        <w:spacing w:after="40" w:before="160"/>
      </w:pPr>
      <w:r>
        <w:rPr>
          <w:rFonts w:ascii="Calibri" w:cs="Calibri" w:eastAsia="Calibri" w:hAnsi="Calibri"/>
          <w:b/>
          <w:bCs/>
          <w:color w:val="222222"/>
          <w:sz w:val="21"/>
          <w:szCs w:val="21"/>
        </w:rPr>
        <w:t xml:space="preserve">International-transfer mechanism is referenced but not operative.</w:t>
      </w:r>
    </w:p>
    <w:p>
      <w:pPr>
        <w:spacing w:after="40"/>
        <w:jc w:val="both"/>
      </w:pPr>
      <w:r>
        <w:rPr>
          <w:rFonts w:ascii="Calibri" w:cs="Calibri" w:eastAsia="Calibri" w:hAnsi="Calibri"/>
          <w:color w:val="222222"/>
          <w:sz w:val="21"/>
          <w:szCs w:val="21"/>
        </w:rPr>
        <w:t xml:space="preserve">"Appropriate safeguards including SCCs" are required but no SCC text is attached, no module is selected, and no transfer impact assessment is required. Referencing SCCs without incorporating the EU-approved clauses (Decision 2021/914) leaves the transfer basis incomplete.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Attach the relevant SCC module(s) as a schedule, name approved destinations, and require a documented transfer impact assessment.</w:t>
      </w:r>
    </w:p>
    <w:p>
      <w:pPr>
        <w:spacing w:after="40" w:before="160"/>
      </w:pPr>
      <w:r>
        <w:rPr>
          <w:rFonts w:ascii="Calibri" w:cs="Calibri" w:eastAsia="Calibri" w:hAnsi="Calibri"/>
          <w:b/>
          <w:bCs/>
          <w:color w:val="222222"/>
          <w:sz w:val="21"/>
          <w:szCs w:val="21"/>
        </w:rPr>
        <w:t xml:space="preserve">Breach-notification window is an open placeholder.</w:t>
      </w:r>
    </w:p>
    <w:p>
      <w:pPr>
        <w:spacing w:after="40"/>
        <w:jc w:val="both"/>
      </w:pPr>
      <w:r>
        <w:rPr>
          <w:rFonts w:ascii="Calibri" w:cs="Calibri" w:eastAsia="Calibri" w:hAnsi="Calibri"/>
          <w:color w:val="222222"/>
          <w:sz w:val="21"/>
          <w:szCs w:val="21"/>
        </w:rPr>
        <w:t xml:space="preserve">The Processor's notification period is blank / untethered, but the Controller must notify Datatilsynet within 72 hours of awareness under GDPR Art. 33; too long a window leaves no time to comply.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Fix a short window (e.g. without undue delay and no later than 24–48 hours) designed to leave the Controller time for its 72-hour deadline.</w:t>
      </w:r>
    </w:p>
    <w:p>
      <w:pPr>
        <w:spacing w:after="40" w:before="160"/>
      </w:pPr>
      <w:r>
        <w:rPr>
          <w:rFonts w:ascii="Calibri" w:cs="Calibri" w:eastAsia="Calibri" w:hAnsi="Calibri"/>
          <w:b/>
          <w:bCs/>
          <w:color w:val="222222"/>
          <w:sz w:val="21"/>
          <w:szCs w:val="21"/>
        </w:rPr>
        <w:t xml:space="preserve">No current sub-processor list.</w:t>
      </w:r>
    </w:p>
    <w:p>
      <w:pPr>
        <w:spacing w:after="40"/>
        <w:jc w:val="both"/>
      </w:pPr>
      <w:r>
        <w:rPr>
          <w:rFonts w:ascii="Calibri" w:cs="Calibri" w:eastAsia="Calibri" w:hAnsi="Calibri"/>
          <w:color w:val="222222"/>
          <w:sz w:val="21"/>
          <w:szCs w:val="21"/>
        </w:rPr>
        <w:t xml:space="preserve">A right to object to new sub-processors exists under a general authorisation, but no schedule lists sub-processors engaged at signing, so the Controller cannot verify baseline exposure or exercise the objection right.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maintained schedule of current sub-processors (name, location, activity), with objection rights triggered by any addition.</w:t>
      </w:r>
    </w:p>
    <w:p>
      <w:pPr>
        <w:spacing w:after="40" w:before="160"/>
      </w:pPr>
      <w:r>
        <w:rPr>
          <w:rFonts w:ascii="Calibri" w:cs="Calibri" w:eastAsia="Calibri" w:hAnsi="Calibri"/>
          <w:b/>
          <w:bCs/>
          <w:color w:val="222222"/>
          <w:sz w:val="21"/>
          <w:szCs w:val="21"/>
        </w:rPr>
        <w:t xml:space="preserve">Liability allocation for data-subject claims is incomplete.</w:t>
      </w:r>
    </w:p>
    <w:p>
      <w:pPr>
        <w:spacing w:after="40"/>
        <w:jc w:val="both"/>
      </w:pPr>
      <w:r>
        <w:rPr>
          <w:rFonts w:ascii="Calibri" w:cs="Calibri" w:eastAsia="Calibri" w:hAnsi="Calibri"/>
          <w:color w:val="222222"/>
          <w:sz w:val="21"/>
          <w:szCs w:val="21"/>
        </w:rPr>
        <w:t xml:space="preserve">Each Party is liable "in accordance with law" plus a Processor indemnity, but under GDPR Art. 82 a data subject may claim in full against either party; internal contribution is not addressed.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internal contribution clause allocating liability in proportion to responsibility, consistent with Art. 82(5).</w:t>
      </w:r>
    </w:p>
    <w:p>
      <w:pPr>
        <w:spacing w:after="40" w:before="160"/>
      </w:pPr>
      <w:r>
        <w:rPr>
          <w:rFonts w:ascii="Calibri" w:cs="Calibri" w:eastAsia="Calibri" w:hAnsi="Calibri"/>
          <w:b/>
          <w:bCs/>
          <w:color w:val="222222"/>
          <w:sz w:val="21"/>
          <w:szCs w:val="21"/>
        </w:rPr>
        <w:t xml:space="preserve">Audit clause lacks practical mechanics.</w:t>
      </w:r>
    </w:p>
    <w:p>
      <w:pPr>
        <w:spacing w:after="40"/>
        <w:jc w:val="both"/>
      </w:pPr>
      <w:r>
        <w:rPr>
          <w:rFonts w:ascii="Calibri" w:cs="Calibri" w:eastAsia="Calibri" w:hAnsi="Calibri"/>
          <w:color w:val="222222"/>
          <w:sz w:val="21"/>
          <w:szCs w:val="21"/>
        </w:rPr>
        <w:t xml:space="preserve">Audit frequency is capped but there is no notice period, independent-auditor option, treatment of findings or cost allocation, making the Art. 28(3)(h) right hard to exercise.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Specify notice, allow a mutually agreed auditor or recognised certification (ISO 27001 / SOC 2) as an alternative, and allocate costs.</w:t>
      </w:r>
    </w:p>
    <w:p>
      <w:pPr>
        <w:spacing w:after="40" w:before="160"/>
      </w:pPr>
      <w:r>
        <w:rPr>
          <w:rFonts w:ascii="Calibri" w:cs="Calibri" w:eastAsia="Calibri" w:hAnsi="Calibri"/>
          <w:b/>
          <w:bCs/>
          <w:color w:val="222222"/>
          <w:sz w:val="21"/>
          <w:szCs w:val="21"/>
        </w:rPr>
        <w:t xml:space="preserve">No cross-reference to Article 30 record-keeping.</w:t>
      </w:r>
    </w:p>
    <w:p>
      <w:pPr>
        <w:spacing w:after="40"/>
        <w:jc w:val="both"/>
      </w:pPr>
      <w:r>
        <w:rPr>
          <w:rFonts w:ascii="Calibri" w:cs="Calibri" w:eastAsia="Calibri" w:hAnsi="Calibri"/>
          <w:color w:val="222222"/>
          <w:sz w:val="21"/>
          <w:szCs w:val="21"/>
        </w:rPr>
        <w:t xml:space="preserve">Neither Party's records-of-processing obligation is addressed, nor is the Processor required to supply information the Controller needs for its Art. 30 records.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Require the Processor to provide, on request, the information needed for the Controller's records of processing.</w:t>
      </w:r>
    </w:p>
    <w:p>
      <w:pPr>
        <w:pStyle w:val="Heading2"/>
        <w:spacing w:after="20" w:before="180"/>
      </w:pPr>
      <w:r>
        <w:rPr>
          <w:rFonts w:ascii="Calibri" w:cs="Calibri" w:eastAsia="Calibri" w:hAnsi="Calibri"/>
          <w:b/>
          <w:bCs/>
          <w:color w:val="2E5AAC"/>
          <w:sz w:val="26"/>
          <w:szCs w:val="26"/>
        </w:rPr>
        <w:t xml:space="preserve">Mutual Non-Disclosure Agreement</w:t>
      </w:r>
    </w:p>
    <w:p>
      <w:pPr>
        <w:spacing w:after="60"/>
      </w:pPr>
      <w:r>
        <w:rPr>
          <w:rFonts w:ascii="Calibri" w:cs="Calibri" w:eastAsia="Calibri" w:hAnsi="Calibri"/>
          <w:i/>
          <w:iCs/>
          <w:color w:val="595959"/>
          <w:sz w:val="18"/>
          <w:szCs w:val="18"/>
        </w:rPr>
        <w:t xml:space="preserve">MUTUAL_NDA_MASTER_EN.md</w:t>
      </w:r>
    </w:p>
    <w:p>
      <w:pPr>
        <w:spacing w:after="40" w:before="160"/>
      </w:pPr>
      <w:r>
        <w:rPr>
          <w:rFonts w:ascii="Calibri" w:cs="Calibri" w:eastAsia="Calibri" w:hAnsi="Calibri"/>
          <w:b/>
          <w:bCs/>
          <w:color w:val="222222"/>
          <w:sz w:val="21"/>
          <w:szCs w:val="21"/>
        </w:rPr>
        <w:t xml:space="preserve">Trade-secret confidentiality is capped at a fixed period.</w:t>
      </w:r>
    </w:p>
    <w:p>
      <w:pPr>
        <w:spacing w:after="40"/>
        <w:jc w:val="both"/>
      </w:pPr>
      <w:r>
        <w:rPr>
          <w:rFonts w:ascii="Calibri" w:cs="Calibri" w:eastAsia="Calibri" w:hAnsi="Calibri"/>
          <w:color w:val="222222"/>
          <w:sz w:val="21"/>
          <w:szCs w:val="21"/>
        </w:rPr>
        <w:t xml:space="preserve">Survival is tied to a fixed number of time units after termination, but under the Danish Trade Secrets Act genuine trade secrets warrant protection for as long as they remain secret and valuable; a fixed cut-off risks releasing them prematurely.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Carve trade secrets / know-how out of the fixed survival period so they stay protected for as long as they qualify.</w:t>
      </w:r>
    </w:p>
    <w:p>
      <w:pPr>
        <w:spacing w:after="40" w:before="160"/>
      </w:pPr>
      <w:r>
        <w:rPr>
          <w:rFonts w:ascii="Calibri" w:cs="Calibri" w:eastAsia="Calibri" w:hAnsi="Calibri"/>
          <w:b/>
          <w:bCs/>
          <w:color w:val="222222"/>
          <w:sz w:val="21"/>
          <w:szCs w:val="21"/>
        </w:rPr>
        <w:t xml:space="preserve">No liability limitation at all.</w:t>
      </w:r>
    </w:p>
    <w:p>
      <w:pPr>
        <w:spacing w:after="40"/>
        <w:jc w:val="both"/>
      </w:pPr>
      <w:r>
        <w:rPr>
          <w:rFonts w:ascii="Calibri" w:cs="Calibri" w:eastAsia="Calibri" w:hAnsi="Calibri"/>
          <w:color w:val="222222"/>
          <w:sz w:val="21"/>
          <w:szCs w:val="21"/>
        </w:rPr>
        <w:t xml:space="preserve">Unlike the licence and DPA templates, there is no cap or exclusion of indirect damages, exposing either party to open-ended liability for even an inadvertent leak.</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liability cap and indirect-damages exclusion, keeping wilful / grossly negligent misuse and injunctive relief outside the cap.</w:t>
      </w:r>
    </w:p>
    <w:p>
      <w:pPr>
        <w:spacing w:after="40" w:before="160"/>
      </w:pPr>
      <w:r>
        <w:rPr>
          <w:rFonts w:ascii="Calibri" w:cs="Calibri" w:eastAsia="Calibri" w:hAnsi="Calibri"/>
          <w:b/>
          <w:bCs/>
          <w:color w:val="222222"/>
          <w:sz w:val="21"/>
          <w:szCs w:val="21"/>
        </w:rPr>
        <w:t xml:space="preserve">No confirmation-of-destruction requirement.</w:t>
      </w:r>
    </w:p>
    <w:p>
      <w:pPr>
        <w:spacing w:after="40"/>
        <w:jc w:val="both"/>
      </w:pPr>
      <w:r>
        <w:rPr>
          <w:rFonts w:ascii="Calibri" w:cs="Calibri" w:eastAsia="Calibri" w:hAnsi="Calibri"/>
          <w:color w:val="222222"/>
          <w:sz w:val="21"/>
          <w:szCs w:val="21"/>
        </w:rPr>
        <w:t xml:space="preserve">Destruction is permitted instead of return but, unlike the unilateral template, no written confirmation is required.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Require written confirmation of destruction by an authorised signatory on request.</w:t>
      </w:r>
    </w:p>
    <w:p>
      <w:pPr>
        <w:pStyle w:val="Heading2"/>
        <w:spacing w:after="20" w:before="180"/>
      </w:pPr>
      <w:r>
        <w:rPr>
          <w:rFonts w:ascii="Calibri" w:cs="Calibri" w:eastAsia="Calibri" w:hAnsi="Calibri"/>
          <w:b/>
          <w:bCs/>
          <w:color w:val="2E5AAC"/>
          <w:sz w:val="26"/>
          <w:szCs w:val="26"/>
        </w:rPr>
        <w:t xml:space="preserve">Unilateral Non-Disclosure Agreement</w:t>
      </w:r>
    </w:p>
    <w:p>
      <w:pPr>
        <w:spacing w:after="60"/>
      </w:pPr>
      <w:r>
        <w:rPr>
          <w:rFonts w:ascii="Calibri" w:cs="Calibri" w:eastAsia="Calibri" w:hAnsi="Calibri"/>
          <w:i/>
          <w:iCs/>
          <w:color w:val="595959"/>
          <w:sz w:val="18"/>
          <w:szCs w:val="18"/>
        </w:rPr>
        <w:t xml:space="preserve">UNILATERAL_NDA_MASTER_EN.md</w:t>
      </w:r>
    </w:p>
    <w:p>
      <w:pPr>
        <w:spacing w:after="40" w:before="160"/>
      </w:pPr>
      <w:r>
        <w:rPr>
          <w:rFonts w:ascii="Calibri" w:cs="Calibri" w:eastAsia="Calibri" w:hAnsi="Calibri"/>
          <w:b/>
          <w:bCs/>
          <w:color w:val="222222"/>
          <w:sz w:val="21"/>
          <w:szCs w:val="21"/>
        </w:rPr>
        <w:t xml:space="preserve">Trade-secret confidentiality is capped at a fixed period.</w:t>
      </w:r>
    </w:p>
    <w:p>
      <w:pPr>
        <w:spacing w:after="40"/>
        <w:jc w:val="both"/>
      </w:pPr>
      <w:r>
        <w:rPr>
          <w:rFonts w:ascii="Calibri" w:cs="Calibri" w:eastAsia="Calibri" w:hAnsi="Calibri"/>
          <w:color w:val="222222"/>
          <w:sz w:val="21"/>
          <w:szCs w:val="21"/>
        </w:rPr>
        <w:t xml:space="preserve">As with the mutual template, a fixed survival period may prematurely lift protection for trade secrets that remain valuable under the Danish Trade Secrets Act.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Exclude trade secrets / know-how from the fixed survival cap.</w:t>
      </w:r>
    </w:p>
    <w:p>
      <w:pPr>
        <w:spacing w:after="40" w:before="160"/>
      </w:pPr>
      <w:r>
        <w:rPr>
          <w:rFonts w:ascii="Calibri" w:cs="Calibri" w:eastAsia="Calibri" w:hAnsi="Calibri"/>
          <w:b/>
          <w:bCs/>
          <w:color w:val="222222"/>
          <w:sz w:val="21"/>
          <w:szCs w:val="21"/>
        </w:rPr>
        <w:t xml:space="preserve">US-style injunction waiver has no effect in Denmark.</w:t>
      </w:r>
    </w:p>
    <w:p>
      <w:pPr>
        <w:spacing w:after="40"/>
        <w:jc w:val="both"/>
      </w:pPr>
      <w:r>
        <w:rPr>
          <w:rFonts w:ascii="Calibri" w:cs="Calibri" w:eastAsia="Calibri" w:hAnsi="Calibri"/>
          <w:color w:val="222222"/>
          <w:sz w:val="21"/>
          <w:szCs w:val="21"/>
        </w:rPr>
        <w:t xml:space="preserve">"Injunctive relief without bond or proof of damages" is imported boilerplate; interim injunctions in Denmark are governed by the Administration of Justice Act (retsplejeloven), under which the court, not the contract, decides on security and evidence.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Replace with a statement that the Disclosing Party may seek interim relief under Danish civil procedure, without purporting to override the court's discretion.</w:t>
      </w:r>
    </w:p>
    <w:p>
      <w:pPr>
        <w:spacing w:after="40" w:before="160"/>
      </w:pPr>
      <w:r>
        <w:rPr>
          <w:rFonts w:ascii="Calibri" w:cs="Calibri" w:eastAsia="Calibri" w:hAnsi="Calibri"/>
          <w:b/>
          <w:bCs/>
          <w:color w:val="222222"/>
          <w:sz w:val="21"/>
          <w:szCs w:val="21"/>
        </w:rPr>
        <w:t xml:space="preserve">No liability cap.</w:t>
      </w:r>
    </w:p>
    <w:p>
      <w:pPr>
        <w:spacing w:after="40"/>
        <w:jc w:val="both"/>
      </w:pPr>
      <w:r>
        <w:rPr>
          <w:rFonts w:ascii="Calibri" w:cs="Calibri" w:eastAsia="Calibri" w:hAnsi="Calibri"/>
          <w:color w:val="222222"/>
          <w:sz w:val="21"/>
          <w:szCs w:val="21"/>
        </w:rPr>
        <w:t xml:space="preserve">As with the mutual template, unlimited liability for any breach, however minor.</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liability cap and indirect-damages exclusion, carving out deliberate / grossly negligent misuse and injunctive relief.</w:t>
      </w:r>
    </w:p>
    <w:p>
      <w:r>
        <w:br w:type="page"/>
      </w:r>
    </w:p>
    <w:p>
      <w:pPr>
        <w:pStyle w:val="Heading1"/>
        <w:spacing w:after="40" w:before="60"/>
      </w:pPr>
      <w:r>
        <w:rPr>
          <w:rFonts w:ascii="Calibri" w:cs="Calibri" w:eastAsia="Calibri" w:hAnsi="Calibri"/>
          <w:b/>
          <w:bCs/>
          <w:color w:val="1F3864"/>
          <w:sz w:val="32"/>
          <w:szCs w:val="32"/>
        </w:rPr>
        <w:t xml:space="preserve">Corporate &amp; Finance</w:t>
      </w:r>
    </w:p>
    <w:p>
      <w:pPr>
        <w:pBdr>
          <w:bottom w:val="single" w:color="2E5AAC" w:sz="12" w:space="6"/>
        </w:pBdr>
        <w:spacing w:after="160"/>
      </w:pPr>
    </w:p>
    <w:p>
      <w:pPr>
        <w:pStyle w:val="Heading2"/>
        <w:spacing w:after="20" w:before="180"/>
      </w:pPr>
      <w:r>
        <w:rPr>
          <w:rFonts w:ascii="Calibri" w:cs="Calibri" w:eastAsia="Calibri" w:hAnsi="Calibri"/>
          <w:b/>
          <w:bCs/>
          <w:color w:val="2E5AAC"/>
          <w:sz w:val="26"/>
          <w:szCs w:val="26"/>
        </w:rPr>
        <w:t xml:space="preserve">Articles of Association</w:t>
      </w:r>
    </w:p>
    <w:p>
      <w:pPr>
        <w:spacing w:after="60"/>
      </w:pPr>
      <w:r>
        <w:rPr>
          <w:rFonts w:ascii="Calibri" w:cs="Calibri" w:eastAsia="Calibri" w:hAnsi="Calibri"/>
          <w:i/>
          <w:iCs/>
          <w:color w:val="595959"/>
          <w:sz w:val="18"/>
          <w:szCs w:val="18"/>
        </w:rPr>
        <w:t xml:space="preserve">ARTICLES_OF_ASSOCIATION_MASTER_EN.md</w:t>
      </w:r>
    </w:p>
    <w:p>
      <w:pPr>
        <w:spacing w:after="40" w:before="160"/>
      </w:pPr>
      <w:r>
        <w:rPr>
          <w:rFonts w:ascii="Calibri" w:cs="Calibri" w:eastAsia="Calibri" w:hAnsi="Calibri"/>
          <w:b/>
          <w:bCs/>
          <w:color w:val="222222"/>
          <w:sz w:val="21"/>
          <w:szCs w:val="21"/>
        </w:rPr>
        <w:t xml:space="preserve">Selskabsloven minimum-content requirements are only partly met.</w:t>
      </w:r>
    </w:p>
    <w:p>
      <w:pPr>
        <w:spacing w:after="40"/>
        <w:jc w:val="both"/>
      </w:pPr>
      <w:r>
        <w:rPr>
          <w:rFonts w:ascii="Calibri" w:cs="Calibri" w:eastAsia="Calibri" w:hAnsi="Calibri"/>
          <w:color w:val="222222"/>
          <w:sz w:val="21"/>
          <w:szCs w:val="21"/>
        </w:rPr>
        <w:t xml:space="preserve">Most required matters are covered at a high level, but the articles omit capital increase / decrease procedures, pre-emption on new issues, and any statement that the stated capital meets the statutory minimum for the entity type (ApS versus A/S differ).</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capital-changes section (issuance, increase / reduction procedure and majority) and a representation that the capital meets the statutory minimum for the entity type.</w:t>
      </w:r>
    </w:p>
    <w:p>
      <w:pPr>
        <w:spacing w:after="40" w:before="160"/>
      </w:pPr>
      <w:r>
        <w:rPr>
          <w:rFonts w:ascii="Calibri" w:cs="Calibri" w:eastAsia="Calibri" w:hAnsi="Calibri"/>
          <w:b/>
          <w:bCs/>
          <w:color w:val="222222"/>
          <w:sz w:val="21"/>
          <w:szCs w:val="21"/>
        </w:rPr>
        <w:t xml:space="preserve">Amendment and class-right thresholds lack real majorities.</w:t>
      </w:r>
    </w:p>
    <w:p>
      <w:pPr>
        <w:spacing w:after="40"/>
        <w:jc w:val="both"/>
      </w:pPr>
      <w:r>
        <w:rPr>
          <w:rFonts w:ascii="Calibri" w:cs="Calibri" w:eastAsia="Calibri" w:hAnsi="Calibri"/>
          <w:color w:val="222222"/>
          <w:sz w:val="21"/>
          <w:szCs w:val="21"/>
        </w:rPr>
        <w:t xml:space="preserve">Variation of class rights, amendments and dissolution all defer to "applicable law" without stating the qualified majority Selskabsloven requires (and unanimity where a resolution increases shareholders' obligations).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the specific majority (e.g. 2/3 of votes and capital) for amendments and class-right variations, and require unanimity for resolutions imposing new obligations.</w:t>
      </w:r>
    </w:p>
    <w:p>
      <w:pPr>
        <w:spacing w:after="40" w:before="160"/>
      </w:pPr>
      <w:r>
        <w:rPr>
          <w:rFonts w:ascii="Calibri" w:cs="Calibri" w:eastAsia="Calibri" w:hAnsi="Calibri"/>
          <w:b/>
          <w:bCs/>
          <w:color w:val="222222"/>
          <w:sz w:val="21"/>
          <w:szCs w:val="21"/>
        </w:rPr>
        <w:t xml:space="preserve">Transfer restrictions not coordinated with the register or an SHA.</w:t>
      </w:r>
    </w:p>
    <w:p>
      <w:pPr>
        <w:spacing w:after="40"/>
        <w:jc w:val="both"/>
      </w:pPr>
      <w:r>
        <w:rPr>
          <w:rFonts w:ascii="Calibri" w:cs="Calibri" w:eastAsia="Calibri" w:hAnsi="Calibri"/>
          <w:color w:val="222222"/>
          <w:sz w:val="21"/>
          <w:szCs w:val="21"/>
        </w:rPr>
        <w:t xml:space="preserve">Approval and first-refusal rights are only enforceable against a third-party transferee and binding on the register if they appear in the registered Articles; an unregistered shareholders' agreement is not binding on the Company or purchasers. What happens on refusal is not specified.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Note that any parallel SHA binds only its signatories, and add a concrete mechanic (mandatory buy-out at fair value within a stated period) on refusal of a transfer.</w:t>
      </w:r>
    </w:p>
    <w:p>
      <w:pPr>
        <w:spacing w:after="40" w:before="160"/>
      </w:pPr>
      <w:r>
        <w:rPr>
          <w:rFonts w:ascii="Calibri" w:cs="Calibri" w:eastAsia="Calibri" w:hAnsi="Calibri"/>
          <w:b/>
          <w:bCs/>
          <w:color w:val="222222"/>
          <w:sz w:val="21"/>
          <w:szCs w:val="21"/>
        </w:rPr>
        <w:t xml:space="preserve">Liquidation preference created but not honoured on dissolution.</w:t>
      </w:r>
    </w:p>
    <w:p>
      <w:pPr>
        <w:spacing w:after="40"/>
        <w:jc w:val="both"/>
      </w:pPr>
      <w:r>
        <w:rPr>
          <w:rFonts w:ascii="Calibri" w:cs="Calibri" w:eastAsia="Calibri" w:hAnsi="Calibri"/>
          <w:color w:val="222222"/>
          <w:sz w:val="21"/>
          <w:szCs w:val="21"/>
        </w:rPr>
        <w:t xml:space="preserve">Share classes may carry "liquidation preferences," but the dissolution clause simply refers to "applicable law" with no class-based waterfall — an internal inconsistency.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Cross-reference the class rights in the dissolution clause and specify the distribution order on liquidation.</w:t>
      </w:r>
    </w:p>
    <w:p>
      <w:pPr>
        <w:spacing w:after="40" w:before="160"/>
      </w:pPr>
      <w:r>
        <w:rPr>
          <w:rFonts w:ascii="Calibri" w:cs="Calibri" w:eastAsia="Calibri" w:hAnsi="Calibri"/>
          <w:b/>
          <w:bCs/>
          <w:color w:val="222222"/>
          <w:sz w:val="21"/>
          <w:szCs w:val="21"/>
        </w:rPr>
        <w:t xml:space="preserve">Employee board representation is not addressed.</w:t>
      </w:r>
    </w:p>
    <w:p>
      <w:pPr>
        <w:spacing w:after="40"/>
        <w:jc w:val="both"/>
      </w:pPr>
      <w:r>
        <w:rPr>
          <w:rFonts w:ascii="Calibri" w:cs="Calibri" w:eastAsia="Calibri" w:hAnsi="Calibri"/>
          <w:color w:val="222222"/>
          <w:sz w:val="21"/>
          <w:szCs w:val="21"/>
        </w:rPr>
        <w:t xml:space="preserve">Once headcount is sufficient over a sustained period, employees acquire a statutory right to elect board representatives; the management clause is silent.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Acknowledge that employee representation rights may arise by law and that the Articles will be amended if triggered.</w:t>
      </w:r>
    </w:p>
    <w:p>
      <w:pPr>
        <w:spacing w:after="40" w:before="160"/>
      </w:pPr>
      <w:r>
        <w:rPr>
          <w:rFonts w:ascii="Calibri" w:cs="Calibri" w:eastAsia="Calibri" w:hAnsi="Calibri"/>
          <w:b/>
          <w:bCs/>
          <w:color w:val="222222"/>
          <w:sz w:val="21"/>
          <w:szCs w:val="21"/>
        </w:rPr>
        <w:t xml:space="preserve">Signing authority and management options not reconciled.</w:t>
      </w:r>
    </w:p>
    <w:p>
      <w:pPr>
        <w:spacing w:after="40"/>
        <w:jc w:val="both"/>
      </w:pPr>
      <w:r>
        <w:rPr>
          <w:rFonts w:ascii="Calibri" w:cs="Calibri" w:eastAsia="Calibri" w:hAnsi="Calibri"/>
          <w:color w:val="222222"/>
          <w:sz w:val="21"/>
          <w:szCs w:val="21"/>
        </w:rPr>
        <w:t xml:space="preserve">"Executive management only" is offered (permissible for ApS, not A/S) but the signing-authority options do not adjust to the chosen structure.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Make the signing-authority options conditional on the chosen management structure and confirm it is lawful for the entity type.</w:t>
      </w:r>
    </w:p>
    <w:p>
      <w:pPr>
        <w:pStyle w:val="Heading2"/>
        <w:spacing w:after="20" w:before="180"/>
      </w:pPr>
      <w:r>
        <w:rPr>
          <w:rFonts w:ascii="Calibri" w:cs="Calibri" w:eastAsia="Calibri" w:hAnsi="Calibri"/>
          <w:b/>
          <w:bCs/>
          <w:color w:val="2E5AAC"/>
          <w:sz w:val="26"/>
          <w:szCs w:val="26"/>
        </w:rPr>
        <w:t xml:space="preserve">Shareholders' Agreement</w:t>
      </w:r>
    </w:p>
    <w:p>
      <w:pPr>
        <w:spacing w:after="60"/>
      </w:pPr>
      <w:r>
        <w:rPr>
          <w:rFonts w:ascii="Calibri" w:cs="Calibri" w:eastAsia="Calibri" w:hAnsi="Calibri"/>
          <w:i/>
          <w:iCs/>
          <w:color w:val="595959"/>
          <w:sz w:val="18"/>
          <w:szCs w:val="18"/>
        </w:rPr>
        <w:t xml:space="preserve">SHAREHOLDERS_AGREEMENT_MASTER_EN.md</w:t>
      </w:r>
    </w:p>
    <w:p>
      <w:pPr>
        <w:spacing w:after="40" w:before="160"/>
      </w:pPr>
      <w:r>
        <w:rPr>
          <w:rFonts w:ascii="Calibri" w:cs="Calibri" w:eastAsia="Calibri" w:hAnsi="Calibri"/>
          <w:b/>
          <w:bCs/>
          <w:color w:val="222222"/>
          <w:sz w:val="21"/>
          <w:szCs w:val="21"/>
        </w:rPr>
        <w:t xml:space="preserve">Not binding on the Company's organs or future shareholders.</w:t>
      </w:r>
    </w:p>
    <w:p>
      <w:pPr>
        <w:spacing w:after="40"/>
        <w:jc w:val="both"/>
      </w:pPr>
      <w:r>
        <w:rPr>
          <w:rFonts w:ascii="Calibri" w:cs="Calibri" w:eastAsia="Calibri" w:hAnsi="Calibri"/>
          <w:color w:val="222222"/>
          <w:sz w:val="21"/>
          <w:szCs w:val="21"/>
        </w:rPr>
        <w:t xml:space="preserve">Even with the Company signing, an SHA cannot override the Articles or bind the general meeting / board to act unlawfully; a board resolution in breach remains valid toward third parties, leaving only a damages claim between shareholders.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that the Articles govern vis-à-vis the Company and third parties, that SHA remedies are contractual, and that anything meant to bind the Company must be mirrored in the Articles.</w:t>
      </w:r>
    </w:p>
    <w:p>
      <w:pPr>
        <w:spacing w:after="40" w:before="160"/>
      </w:pPr>
      <w:r>
        <w:rPr>
          <w:rFonts w:ascii="Calibri" w:cs="Calibri" w:eastAsia="Calibri" w:hAnsi="Calibri"/>
          <w:b/>
          <w:bCs/>
          <w:color w:val="222222"/>
          <w:sz w:val="21"/>
          <w:szCs w:val="21"/>
        </w:rPr>
        <w:t xml:space="preserve">"Null and void" transfers overstate the law.</w:t>
      </w:r>
    </w:p>
    <w:p>
      <w:pPr>
        <w:spacing w:after="40"/>
        <w:jc w:val="both"/>
      </w:pPr>
      <w:r>
        <w:rPr>
          <w:rFonts w:ascii="Calibri" w:cs="Calibri" w:eastAsia="Calibri" w:hAnsi="Calibri"/>
          <w:color w:val="222222"/>
          <w:sz w:val="21"/>
          <w:szCs w:val="21"/>
        </w:rPr>
        <w:t xml:space="preserve">A transfer in breach of a purely contractual first-refusal right is not automatically void; at most it is unenforceable against the Company (which can refuse registration) and gives a damages / specific-performance claim.</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Replace "null and void" with a mechanism tying the breach to the Company's refusal to register, plus a stated damages / injunctive remedy.</w:t>
      </w:r>
    </w:p>
    <w:p>
      <w:pPr>
        <w:spacing w:after="40" w:before="160"/>
      </w:pPr>
      <w:r>
        <w:rPr>
          <w:rFonts w:ascii="Calibri" w:cs="Calibri" w:eastAsia="Calibri" w:hAnsi="Calibri"/>
          <w:b/>
          <w:bCs/>
          <w:color w:val="222222"/>
          <w:sz w:val="21"/>
          <w:szCs w:val="21"/>
        </w:rPr>
        <w:t xml:space="preserve">No accession mechanism binds incoming shareholders.</w:t>
      </w:r>
    </w:p>
    <w:p>
      <w:pPr>
        <w:spacing w:after="40"/>
        <w:jc w:val="both"/>
      </w:pPr>
      <w:r>
        <w:rPr>
          <w:rFonts w:ascii="Calibri" w:cs="Calibri" w:eastAsia="Calibri" w:hAnsi="Calibri"/>
          <w:color w:val="222222"/>
          <w:sz w:val="21"/>
          <w:szCs w:val="21"/>
        </w:rPr>
        <w:t xml:space="preserve">Transferees and new subscribers are not required to sign a joinder, so new shareholders are not automatically bound.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Make execution of an accession agreement a condition precedent to any permitted transfer or new issuance.</w:t>
      </w:r>
    </w:p>
    <w:p>
      <w:pPr>
        <w:spacing w:after="40" w:before="160"/>
      </w:pPr>
      <w:r>
        <w:rPr>
          <w:rFonts w:ascii="Calibri" w:cs="Calibri" w:eastAsia="Calibri" w:hAnsi="Calibri"/>
          <w:b/>
          <w:bCs/>
          <w:color w:val="222222"/>
          <w:sz w:val="21"/>
          <w:szCs w:val="21"/>
        </w:rPr>
        <w:t xml:space="preserve">Reserved-matter thresholds and drag / tag mechanics are blank.</w:t>
      </w:r>
    </w:p>
    <w:p>
      <w:pPr>
        <w:spacing w:after="40"/>
        <w:jc w:val="both"/>
      </w:pPr>
      <w:r>
        <w:rPr>
          <w:rFonts w:ascii="Calibri" w:cs="Calibri" w:eastAsia="Calibri" w:hAnsi="Calibri"/>
          <w:color w:val="222222"/>
          <w:sz w:val="21"/>
          <w:szCs w:val="21"/>
        </w:rPr>
        <w:t xml:space="preserve">Approval thresholds and drag / tag triggers are unfilled, with no minimum-price floor for dragged / tagging minorities, notice periods or permitted-transfer carve-outs.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Insert concrete thresholds, a floor (consideration no less than the pro-rata highest price to the initiating seller), notice / process mechanics and permitted-transfer carve-outs.</w:t>
      </w:r>
    </w:p>
    <w:p>
      <w:pPr>
        <w:spacing w:after="40" w:before="160"/>
      </w:pPr>
      <w:r>
        <w:rPr>
          <w:rFonts w:ascii="Calibri" w:cs="Calibri" w:eastAsia="Calibri" w:hAnsi="Calibri"/>
          <w:b/>
          <w:bCs/>
          <w:color w:val="222222"/>
          <w:sz w:val="21"/>
          <w:szCs w:val="21"/>
        </w:rPr>
        <w:t xml:space="preserve">Deadlock resolution has no binding fallback.</w:t>
      </w:r>
    </w:p>
    <w:p>
      <w:pPr>
        <w:spacing w:after="40"/>
        <w:jc w:val="both"/>
      </w:pPr>
      <w:r>
        <w:rPr>
          <w:rFonts w:ascii="Calibri" w:cs="Calibri" w:eastAsia="Calibri" w:hAnsi="Calibri"/>
          <w:color w:val="222222"/>
          <w:sz w:val="21"/>
          <w:szCs w:val="21"/>
        </w:rPr>
        <w:t xml:space="preserve">Escalation runs negotiation to mediation to an optional buy-sell or dissolution, but nothing compels an outcome if disagreement persists.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default self-executing mechanism (e.g. a shotgun clause with fixed timelines) if mediation fails.</w:t>
      </w:r>
    </w:p>
    <w:p>
      <w:pPr>
        <w:spacing w:after="40" w:before="160"/>
      </w:pPr>
      <w:r>
        <w:rPr>
          <w:rFonts w:ascii="Calibri" w:cs="Calibri" w:eastAsia="Calibri" w:hAnsi="Calibri"/>
          <w:b/>
          <w:bCs/>
          <w:color w:val="222222"/>
          <w:sz w:val="21"/>
          <w:szCs w:val="21"/>
        </w:rPr>
        <w:t xml:space="preserve">Statutory qualified majorities cannot be contracted below.</w:t>
      </w:r>
    </w:p>
    <w:p>
      <w:pPr>
        <w:spacing w:after="40"/>
        <w:jc w:val="both"/>
      </w:pPr>
      <w:r>
        <w:rPr>
          <w:rFonts w:ascii="Calibri" w:cs="Calibri" w:eastAsia="Calibri" w:hAnsi="Calibri"/>
          <w:color w:val="222222"/>
          <w:sz w:val="21"/>
          <w:szCs w:val="21"/>
        </w:rPr>
        <w:t xml:space="preserve">Some reserved matters (Articles amendments, mergers, liquidation) are subject to mandatory qualified majorities regardless of the agreed threshold; the clause is silent.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proviso that the agreed thresholds are additional protections and do not reduce any statutory qualified-majority requirement.</w:t>
      </w:r>
    </w:p>
    <w:p>
      <w:pPr>
        <w:pStyle w:val="Heading2"/>
        <w:spacing w:after="20" w:before="180"/>
      </w:pPr>
      <w:r>
        <w:rPr>
          <w:rFonts w:ascii="Calibri" w:cs="Calibri" w:eastAsia="Calibri" w:hAnsi="Calibri"/>
          <w:b/>
          <w:bCs/>
          <w:color w:val="2E5AAC"/>
          <w:sz w:val="26"/>
          <w:szCs w:val="26"/>
        </w:rPr>
        <w:t xml:space="preserve">Share Purchase Agreement</w:t>
      </w:r>
    </w:p>
    <w:p>
      <w:pPr>
        <w:spacing w:after="60"/>
      </w:pPr>
      <w:r>
        <w:rPr>
          <w:rFonts w:ascii="Calibri" w:cs="Calibri" w:eastAsia="Calibri" w:hAnsi="Calibri"/>
          <w:i/>
          <w:iCs/>
          <w:color w:val="595959"/>
          <w:sz w:val="18"/>
          <w:szCs w:val="18"/>
        </w:rPr>
        <w:t xml:space="preserve">SHARE_PURCHASE_AGREEMENT_MASTER_EN.md</w:t>
      </w:r>
    </w:p>
    <w:p>
      <w:pPr>
        <w:spacing w:after="40" w:before="160"/>
      </w:pPr>
      <w:r>
        <w:rPr>
          <w:rFonts w:ascii="Calibri" w:cs="Calibri" w:eastAsia="Calibri" w:hAnsi="Calibri"/>
          <w:b/>
          <w:bCs/>
          <w:color w:val="222222"/>
          <w:sz w:val="21"/>
          <w:szCs w:val="21"/>
        </w:rPr>
        <w:t xml:space="preserve">No basket or de minimis limits warranty exposure.</w:t>
      </w:r>
    </w:p>
    <w:p>
      <w:pPr>
        <w:spacing w:after="40"/>
        <w:jc w:val="both"/>
      </w:pPr>
      <w:r>
        <w:rPr>
          <w:rFonts w:ascii="Calibri" w:cs="Calibri" w:eastAsia="Calibri" w:hAnsi="Calibri"/>
          <w:color w:val="222222"/>
          <w:sz w:val="21"/>
          <w:szCs w:val="21"/>
        </w:rPr>
        <w:t xml:space="preserve">Liability is capped at the Purchase Price but there is no de minimis per claim or aggregate basket, so trivial claims can be pursued — inconsistent with standard Danish M&amp;A practice.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de minimis per-claim threshold and an aggregate basket before any claim is payable.</w:t>
      </w:r>
    </w:p>
    <w:p>
      <w:pPr>
        <w:spacing w:after="40" w:before="160"/>
      </w:pPr>
      <w:r>
        <w:rPr>
          <w:rFonts w:ascii="Calibri" w:cs="Calibri" w:eastAsia="Calibri" w:hAnsi="Calibri"/>
          <w:b/>
          <w:bCs/>
          <w:color w:val="222222"/>
          <w:sz w:val="21"/>
          <w:szCs w:val="21"/>
        </w:rPr>
        <w:t xml:space="preserve">A single claims period is used for all warranties.</w:t>
      </w:r>
    </w:p>
    <w:p>
      <w:pPr>
        <w:spacing w:after="40"/>
        <w:jc w:val="both"/>
      </w:pPr>
      <w:r>
        <w:rPr>
          <w:rFonts w:ascii="Calibri" w:cs="Calibri" w:eastAsia="Calibri" w:hAnsi="Calibri"/>
          <w:color w:val="222222"/>
          <w:sz w:val="21"/>
          <w:szCs w:val="21"/>
        </w:rPr>
        <w:t xml:space="preserve">One time limit applies to all "claims," without distinguishing fundamental (title / capacity), tax, and general business warranties, which normally have very different survival.</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Tier the survival periods by category, carving title / capacity and tax warranties out of the general limit and (arguably) the cap.</w:t>
      </w:r>
    </w:p>
    <w:p>
      <w:pPr>
        <w:spacing w:after="40" w:before="160"/>
      </w:pPr>
      <w:r>
        <w:rPr>
          <w:rFonts w:ascii="Calibri" w:cs="Calibri" w:eastAsia="Calibri" w:hAnsi="Calibri"/>
          <w:b/>
          <w:bCs/>
          <w:color w:val="222222"/>
          <w:sz w:val="21"/>
          <w:szCs w:val="21"/>
        </w:rPr>
        <w:t xml:space="preserve">Knowledge qualifiers are heavy and undefined.</w:t>
      </w:r>
    </w:p>
    <w:p>
      <w:pPr>
        <w:spacing w:after="40"/>
        <w:jc w:val="both"/>
      </w:pPr>
      <w:r>
        <w:rPr>
          <w:rFonts w:ascii="Calibri" w:cs="Calibri" w:eastAsia="Calibri" w:hAnsi="Calibri"/>
          <w:color w:val="222222"/>
          <w:sz w:val="21"/>
          <w:szCs w:val="21"/>
        </w:rPr>
        <w:t xml:space="preserve">Most substantive warranties are knowledge-qualified with no definition of whose knowledge is imputed, while fundamental warranties should sit outside any qualifier.</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Define "Seller's knowledge" by named individuals after reasonable enquiry and make title / capacity / encumbrance warranties unqualified and carved out of the cap (subject to fraud).</w:t>
      </w:r>
    </w:p>
    <w:p>
      <w:pPr>
        <w:spacing w:after="40" w:before="160"/>
      </w:pPr>
      <w:r>
        <w:rPr>
          <w:rFonts w:ascii="Calibri" w:cs="Calibri" w:eastAsia="Calibri" w:hAnsi="Calibri"/>
          <w:b/>
          <w:bCs/>
          <w:color w:val="222222"/>
          <w:sz w:val="21"/>
          <w:szCs w:val="21"/>
        </w:rPr>
        <w:t xml:space="preserve">No fair-disclosure standard governs the disclosure schedule.</w:t>
      </w:r>
    </w:p>
    <w:p>
      <w:pPr>
        <w:spacing w:after="40"/>
        <w:jc w:val="both"/>
      </w:pPr>
      <w:r>
        <w:rPr>
          <w:rFonts w:ascii="Calibri" w:cs="Calibri" w:eastAsia="Calibri" w:hAnsi="Calibri"/>
          <w:color w:val="222222"/>
          <w:sz w:val="21"/>
          <w:szCs w:val="21"/>
        </w:rPr>
        <w:t xml:space="preserve">Warranties reference matters "disclosed in Schedule 1" without defining what counts as adequate disclosure.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fair-disclosure definition and require the schedule to be brought down as a condition to Closing.</w:t>
      </w:r>
    </w:p>
    <w:p>
      <w:pPr>
        <w:spacing w:after="40" w:before="160"/>
      </w:pPr>
      <w:r>
        <w:rPr>
          <w:rFonts w:ascii="Calibri" w:cs="Calibri" w:eastAsia="Calibri" w:hAnsi="Calibri"/>
          <w:b/>
          <w:bCs/>
          <w:color w:val="222222"/>
          <w:sz w:val="21"/>
          <w:szCs w:val="21"/>
        </w:rPr>
        <w:t xml:space="preserve">Closing has no conditions precedent.</w:t>
      </w:r>
    </w:p>
    <w:p>
      <w:pPr>
        <w:spacing w:after="40"/>
        <w:jc w:val="both"/>
      </w:pPr>
      <w:r>
        <w:rPr>
          <w:rFonts w:ascii="Calibri" w:cs="Calibri" w:eastAsia="Calibri" w:hAnsi="Calibri"/>
          <w:color w:val="222222"/>
          <w:sz w:val="21"/>
          <w:szCs w:val="21"/>
        </w:rPr>
        <w:t xml:space="preserve">The deal moves from signing straight to deliveries with no merger-control clearance, third-party consents, long-stop date or termination right.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conditions-precedent section (regulatory clearance, required consents), a long-stop date and a termination right if unsatisfied.</w:t>
      </w:r>
    </w:p>
    <w:p>
      <w:pPr>
        <w:spacing w:after="40" w:before="160"/>
      </w:pPr>
      <w:r>
        <w:rPr>
          <w:rFonts w:ascii="Calibri" w:cs="Calibri" w:eastAsia="Calibri" w:hAnsi="Calibri"/>
          <w:b/>
          <w:bCs/>
          <w:color w:val="222222"/>
          <w:sz w:val="21"/>
          <w:szCs w:val="21"/>
        </w:rPr>
        <w:t xml:space="preserve">Pricing mechanism is undefined.</w:t>
      </w:r>
    </w:p>
    <w:p>
      <w:pPr>
        <w:spacing w:after="40"/>
        <w:jc w:val="both"/>
      </w:pPr>
      <w:r>
        <w:rPr>
          <w:rFonts w:ascii="Calibri" w:cs="Calibri" w:eastAsia="Calibri" w:hAnsi="Calibri"/>
          <w:color w:val="222222"/>
          <w:sz w:val="21"/>
          <w:szCs w:val="21"/>
        </w:rPr>
        <w:t xml:space="preserve">A fixed price references "Instalments / Escrow / Earn-Out" without specifying locked-box (needing a leakage covenant) or completion-accounts (needing an adjustment formula); no earn-out anti-manipulation covenant.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Select and define the pricing mechanism and add earn-out protective covenants if used.</w:t>
      </w:r>
    </w:p>
    <w:p>
      <w:pPr>
        <w:pStyle w:val="Heading2"/>
        <w:spacing w:after="20" w:before="180"/>
      </w:pPr>
      <w:r>
        <w:rPr>
          <w:rFonts w:ascii="Calibri" w:cs="Calibri" w:eastAsia="Calibri" w:hAnsi="Calibri"/>
          <w:b/>
          <w:bCs/>
          <w:color w:val="2E5AAC"/>
          <w:sz w:val="26"/>
          <w:szCs w:val="26"/>
        </w:rPr>
        <w:t xml:space="preserve">Partnership Agreement</w:t>
      </w:r>
    </w:p>
    <w:p>
      <w:pPr>
        <w:spacing w:after="60"/>
      </w:pPr>
      <w:r>
        <w:rPr>
          <w:rFonts w:ascii="Calibri" w:cs="Calibri" w:eastAsia="Calibri" w:hAnsi="Calibri"/>
          <w:i/>
          <w:iCs/>
          <w:color w:val="595959"/>
          <w:sz w:val="18"/>
          <w:szCs w:val="18"/>
        </w:rPr>
        <w:t xml:space="preserve">PARTNERSHIP_AGREEMENT_MASTER_EN.md</w:t>
      </w:r>
    </w:p>
    <w:p>
      <w:pPr>
        <w:spacing w:after="40" w:before="160"/>
      </w:pPr>
      <w:r>
        <w:rPr>
          <w:rFonts w:ascii="Calibri" w:cs="Calibri" w:eastAsia="Calibri" w:hAnsi="Calibri"/>
          <w:b/>
          <w:bCs/>
          <w:color w:val="222222"/>
          <w:sz w:val="21"/>
          <w:szCs w:val="21"/>
        </w:rPr>
        <w:t xml:space="preserve">Unlimited joint and several liability is buried, not disclosed.</w:t>
      </w:r>
    </w:p>
    <w:p>
      <w:pPr>
        <w:spacing w:after="40"/>
        <w:jc w:val="both"/>
      </w:pPr>
      <w:r>
        <w:rPr>
          <w:rFonts w:ascii="Calibri" w:cs="Calibri" w:eastAsia="Calibri" w:hAnsi="Calibri"/>
          <w:color w:val="222222"/>
          <w:sz w:val="21"/>
          <w:szCs w:val="21"/>
        </w:rPr>
        <w:t xml:space="preserve">The template correctly reflects the default I/S rule under Erhvervsvirksomhedsloven (each Partner personally, jointly and severally liable for all obligations, uncapped) but states it almost as an afterthought.</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Move a clear standalone acknowledgment of unlimited joint and several personal liability to the front, noting a K/S or company structure if limited liability is intended.</w:t>
      </w:r>
    </w:p>
    <w:p>
      <w:pPr>
        <w:spacing w:after="40" w:before="160"/>
      </w:pPr>
      <w:r>
        <w:rPr>
          <w:rFonts w:ascii="Calibri" w:cs="Calibri" w:eastAsia="Calibri" w:hAnsi="Calibri"/>
          <w:b/>
          <w:bCs/>
          <w:color w:val="222222"/>
          <w:sz w:val="21"/>
          <w:szCs w:val="21"/>
        </w:rPr>
        <w:t xml:space="preserve">Internal authority limits will not bind good-faith third parties.</w:t>
      </w:r>
    </w:p>
    <w:p>
      <w:pPr>
        <w:spacing w:after="40"/>
        <w:jc w:val="both"/>
      </w:pPr>
      <w:r>
        <w:rPr>
          <w:rFonts w:ascii="Calibri" w:cs="Calibri" w:eastAsia="Calibri" w:hAnsi="Calibri"/>
          <w:color w:val="222222"/>
          <w:sz w:val="21"/>
          <w:szCs w:val="21"/>
        </w:rPr>
        <w:t xml:space="preserve">A Partner can bind the Partnership in the ordinary course "unless restricted in writing," but an internal restriction unknown to a third party does not limit that party's ability to hold the Partnership (and every Partner) liable.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Clarify internal limits bind only among Partners unless registered or communicated, and require CVR registration of the Partnership and its signatories.</w:t>
      </w:r>
    </w:p>
    <w:p>
      <w:pPr>
        <w:spacing w:after="40" w:before="160"/>
      </w:pPr>
      <w:r>
        <w:rPr>
          <w:rFonts w:ascii="Calibri" w:cs="Calibri" w:eastAsia="Calibri" w:hAnsi="Calibri"/>
          <w:b/>
          <w:bCs/>
          <w:color w:val="222222"/>
          <w:sz w:val="21"/>
          <w:szCs w:val="21"/>
        </w:rPr>
        <w:t xml:space="preserve">Withdrawal / death does not address pre-exit debts.</w:t>
      </w:r>
    </w:p>
    <w:p>
      <w:pPr>
        <w:spacing w:after="40"/>
        <w:jc w:val="both"/>
      </w:pPr>
      <w:r>
        <w:rPr>
          <w:rFonts w:ascii="Calibri" w:cs="Calibri" w:eastAsia="Calibri" w:hAnsi="Calibri"/>
          <w:color w:val="222222"/>
          <w:sz w:val="21"/>
          <w:szCs w:val="21"/>
        </w:rPr>
        <w:t xml:space="preserve">Buy-out of a withdrawing or deceased Partner is provided, but nothing says whether that Partner or estate remains liable to creditors for obligations incurred while a Partner — which they generally do.</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Confirm a departing Partner remains liable for pre-withdrawal obligations unless released, with an indemnity from remaining / incoming Partners.</w:t>
      </w:r>
    </w:p>
    <w:p>
      <w:pPr>
        <w:spacing w:after="40" w:before="160"/>
      </w:pPr>
      <w:r>
        <w:rPr>
          <w:rFonts w:ascii="Calibri" w:cs="Calibri" w:eastAsia="Calibri" w:hAnsi="Calibri"/>
          <w:b/>
          <w:bCs/>
          <w:color w:val="222222"/>
          <w:sz w:val="21"/>
          <w:szCs w:val="21"/>
        </w:rPr>
        <w:t xml:space="preserve">Admission of new Partners ignores pre-existing debts.</w:t>
      </w:r>
    </w:p>
    <w:p>
      <w:pPr>
        <w:spacing w:after="40"/>
        <w:jc w:val="both"/>
      </w:pPr>
      <w:r>
        <w:rPr>
          <w:rFonts w:ascii="Calibri" w:cs="Calibri" w:eastAsia="Calibri" w:hAnsi="Calibri"/>
          <w:color w:val="222222"/>
          <w:sz w:val="21"/>
          <w:szCs w:val="21"/>
        </w:rPr>
        <w:t xml:space="preserve">Unanimous consent is required to admit a Partner, but whether the incoming Partner assumes exposure for pre-admission debts is not addressed.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whether an incoming Partner assumes pre-existing liability and require notice to / consent from material creditors where relevant.</w:t>
      </w:r>
    </w:p>
    <w:p>
      <w:pPr>
        <w:spacing w:after="40" w:before="160"/>
      </w:pPr>
      <w:r>
        <w:rPr>
          <w:rFonts w:ascii="Calibri" w:cs="Calibri" w:eastAsia="Calibri" w:hAnsi="Calibri"/>
          <w:b/>
          <w:bCs/>
          <w:color w:val="222222"/>
          <w:sz w:val="21"/>
          <w:szCs w:val="21"/>
        </w:rPr>
        <w:t xml:space="preserve">Winding-up does not address a shortfall.</w:t>
      </w:r>
    </w:p>
    <w:p>
      <w:pPr>
        <w:spacing w:after="40"/>
        <w:jc w:val="both"/>
      </w:pPr>
      <w:r>
        <w:rPr>
          <w:rFonts w:ascii="Calibri" w:cs="Calibri" w:eastAsia="Calibri" w:hAnsi="Calibri"/>
          <w:color w:val="222222"/>
          <w:sz w:val="21"/>
          <w:szCs w:val="21"/>
        </w:rPr>
        <w:t xml:space="preserve">Dissolution assumes liabilities are paid from partnership funds, but if assets are insufficient creditors pursue each Partner personally; the shortfall risk is not allocated inter se.</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Confirm continuing personal joint and several liability for any shortfall, with an internal allocation formula (e.g. pro rata to profit / loss sharing).</w:t>
      </w:r>
    </w:p>
    <w:p>
      <w:pPr>
        <w:spacing w:after="40" w:before="160"/>
      </w:pPr>
      <w:r>
        <w:rPr>
          <w:rFonts w:ascii="Calibri" w:cs="Calibri" w:eastAsia="Calibri" w:hAnsi="Calibri"/>
          <w:b/>
          <w:bCs/>
          <w:color w:val="222222"/>
          <w:sz w:val="21"/>
          <w:szCs w:val="21"/>
        </w:rPr>
        <w:t xml:space="preserve">No registration or naming-legend obligation.</w:t>
      </w:r>
    </w:p>
    <w:p>
      <w:pPr>
        <w:spacing w:after="40"/>
        <w:jc w:val="both"/>
      </w:pPr>
      <w:r>
        <w:rPr>
          <w:rFonts w:ascii="Calibri" w:cs="Calibri" w:eastAsia="Calibri" w:hAnsi="Calibri"/>
          <w:color w:val="222222"/>
          <w:sz w:val="21"/>
          <w:szCs w:val="21"/>
        </w:rPr>
        <w:t xml:space="preserve">Erhvervsvirksomhedsloven requires registration with the Danish Business Authority and imposes naming conventions; the template addresses neither.</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obligation to register with the CVR and comply with statutory naming requirements.</w:t>
      </w:r>
    </w:p>
    <w:p>
      <w:pPr>
        <w:pStyle w:val="Heading2"/>
        <w:spacing w:after="20" w:before="180"/>
      </w:pPr>
      <w:r>
        <w:rPr>
          <w:rFonts w:ascii="Calibri" w:cs="Calibri" w:eastAsia="Calibri" w:hAnsi="Calibri"/>
          <w:b/>
          <w:bCs/>
          <w:color w:val="2E5AAC"/>
          <w:sz w:val="26"/>
          <w:szCs w:val="26"/>
        </w:rPr>
        <w:t xml:space="preserve">Memorandum of Understanding</w:t>
      </w:r>
    </w:p>
    <w:p>
      <w:pPr>
        <w:spacing w:after="60"/>
      </w:pPr>
      <w:r>
        <w:rPr>
          <w:rFonts w:ascii="Calibri" w:cs="Calibri" w:eastAsia="Calibri" w:hAnsi="Calibri"/>
          <w:i/>
          <w:iCs/>
          <w:color w:val="595959"/>
          <w:sz w:val="18"/>
          <w:szCs w:val="18"/>
        </w:rPr>
        <w:t xml:space="preserve">MEMORANDUM_OF_UNDERSTANDING_MASTER_EN.md</w:t>
      </w:r>
    </w:p>
    <w:p>
      <w:pPr>
        <w:spacing w:after="40" w:before="160"/>
      </w:pPr>
      <w:r>
        <w:rPr>
          <w:rFonts w:ascii="Calibri" w:cs="Calibri" w:eastAsia="Calibri" w:hAnsi="Calibri"/>
          <w:b/>
          <w:bCs/>
          <w:color w:val="222222"/>
          <w:sz w:val="21"/>
          <w:szCs w:val="21"/>
        </w:rPr>
        <w:t xml:space="preserve">Pre-contractual liability risk is not addressed.</w:t>
      </w:r>
    </w:p>
    <w:p>
      <w:pPr>
        <w:spacing w:after="40"/>
        <w:jc w:val="both"/>
      </w:pPr>
      <w:r>
        <w:rPr>
          <w:rFonts w:ascii="Calibri" w:cs="Calibri" w:eastAsia="Calibri" w:hAnsi="Calibri"/>
          <w:color w:val="222222"/>
          <w:sz w:val="21"/>
          <w:szCs w:val="21"/>
        </w:rPr>
        <w:t xml:space="preserve">Danish law recognises liability for breaking off negotiations in bad faith (culpa in contrahendo) and looks at substance over labels, so a detailed "non-binding" MoU with concrete content still carries some risk.</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clause confirming either Party may withdraw at any time without liability (except under the binding sections), to reduce though not eliminate exposure.</w:t>
      </w:r>
    </w:p>
    <w:p>
      <w:pPr>
        <w:spacing w:after="40" w:before="160"/>
      </w:pPr>
      <w:r>
        <w:rPr>
          <w:rFonts w:ascii="Calibri" w:cs="Calibri" w:eastAsia="Calibri" w:hAnsi="Calibri"/>
          <w:b/>
          <w:bCs/>
          <w:color w:val="222222"/>
          <w:sz w:val="21"/>
          <w:szCs w:val="21"/>
        </w:rPr>
        <w:t xml:space="preserve">Exclusivity is "binding" but has no remedy.</w:t>
      </w:r>
    </w:p>
    <w:p>
      <w:pPr>
        <w:spacing w:after="40"/>
        <w:jc w:val="both"/>
      </w:pPr>
      <w:r>
        <w:rPr>
          <w:rFonts w:ascii="Calibri" w:cs="Calibri" w:eastAsia="Calibri" w:hAnsi="Calibri"/>
          <w:color w:val="222222"/>
          <w:sz w:val="21"/>
          <w:szCs w:val="21"/>
        </w:rPr>
        <w:t xml:space="preserve">Exclusivity is carved out as binding but no remedy is specified, and general Danish remedies require proof of loss, hard to quantify for exclusivity.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an express remedy for breach of confidentiality / exclusivity (injunctive relief and / or a stated liquidated sum).</w:t>
      </w:r>
    </w:p>
    <w:p>
      <w:pPr>
        <w:spacing w:after="40" w:before="160"/>
      </w:pPr>
      <w:r>
        <w:rPr>
          <w:rFonts w:ascii="Calibri" w:cs="Calibri" w:eastAsia="Calibri" w:hAnsi="Calibri"/>
          <w:b/>
          <w:bCs/>
          <w:color w:val="222222"/>
          <w:sz w:val="21"/>
          <w:szCs w:val="21"/>
        </w:rPr>
        <w:t xml:space="preserve">No long-stop date creates indefinite exclusivity risk.</w:t>
      </w:r>
    </w:p>
    <w:p>
      <w:pPr>
        <w:spacing w:after="40"/>
        <w:jc w:val="both"/>
      </w:pPr>
      <w:r>
        <w:rPr>
          <w:rFonts w:ascii="Calibri" w:cs="Calibri" w:eastAsia="Calibri" w:hAnsi="Calibri"/>
          <w:color w:val="222222"/>
          <w:sz w:val="21"/>
          <w:szCs w:val="21"/>
        </w:rPr>
        <w:t xml:space="preserve">The MoU (and any binding exclusivity) stays open until a definitive agreement is signed or a Party terminates, so exclusivity could run indefinitely.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fixed long-stop date after which the MoU, including exclusivity, lapses unless extended in writing.</w:t>
      </w:r>
    </w:p>
    <w:p>
      <w:pPr>
        <w:spacing w:after="40" w:before="160"/>
      </w:pPr>
      <w:r>
        <w:rPr>
          <w:rFonts w:ascii="Calibri" w:cs="Calibri" w:eastAsia="Calibri" w:hAnsi="Calibri"/>
          <w:b/>
          <w:bCs/>
          <w:color w:val="222222"/>
          <w:sz w:val="21"/>
          <w:szCs w:val="21"/>
        </w:rPr>
        <w:t xml:space="preserve">No cost-reimbursement disclaimer.</w:t>
      </w:r>
    </w:p>
    <w:p>
      <w:pPr>
        <w:spacing w:after="40"/>
        <w:jc w:val="both"/>
      </w:pPr>
      <w:r>
        <w:rPr>
          <w:rFonts w:ascii="Calibri" w:cs="Calibri" w:eastAsia="Calibri" w:hAnsi="Calibri"/>
          <w:color w:val="222222"/>
          <w:sz w:val="21"/>
          <w:szCs w:val="21"/>
        </w:rPr>
        <w:t xml:space="preserve">No financial commitment is stated, but whether reliance costs (e.g. due diligence) are recoverable if the deal fails is not addressed.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clause that each Party bears its own costs whether or not a definitive agreement is reached.</w:t>
      </w:r>
    </w:p>
    <w:p>
      <w:pPr>
        <w:spacing w:after="40" w:before="160"/>
      </w:pPr>
      <w:r>
        <w:rPr>
          <w:rFonts w:ascii="Calibri" w:cs="Calibri" w:eastAsia="Calibri" w:hAnsi="Calibri"/>
          <w:b/>
          <w:bCs/>
          <w:color w:val="222222"/>
          <w:sz w:val="21"/>
          <w:szCs w:val="21"/>
        </w:rPr>
        <w:t xml:space="preserve">No signatory-authority representation.</w:t>
      </w:r>
    </w:p>
    <w:p>
      <w:pPr>
        <w:spacing w:after="40"/>
        <w:jc w:val="both"/>
      </w:pPr>
      <w:r>
        <w:rPr>
          <w:rFonts w:ascii="Calibri" w:cs="Calibri" w:eastAsia="Calibri" w:hAnsi="Calibri"/>
          <w:color w:val="222222"/>
          <w:sz w:val="21"/>
          <w:szCs w:val="21"/>
        </w:rPr>
        <w:t xml:space="preserve">The binding sections create real obligations, yet there is no representation that each signatory has authority to bind their entity.</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a signatory-authority representation and named signature blocks.</w:t>
      </w:r>
    </w:p>
    <w:p>
      <w:pPr>
        <w:pStyle w:val="Heading2"/>
        <w:spacing w:after="20" w:before="180"/>
      </w:pPr>
      <w:r>
        <w:rPr>
          <w:rFonts w:ascii="Calibri" w:cs="Calibri" w:eastAsia="Calibri" w:hAnsi="Calibri"/>
          <w:b/>
          <w:bCs/>
          <w:color w:val="2E5AAC"/>
          <w:sz w:val="26"/>
          <w:szCs w:val="26"/>
        </w:rPr>
        <w:t xml:space="preserve">Loan Agreement</w:t>
      </w:r>
    </w:p>
    <w:p>
      <w:pPr>
        <w:spacing w:after="60"/>
      </w:pPr>
      <w:r>
        <w:rPr>
          <w:rFonts w:ascii="Calibri" w:cs="Calibri" w:eastAsia="Calibri" w:hAnsi="Calibri"/>
          <w:i/>
          <w:iCs/>
          <w:color w:val="595959"/>
          <w:sz w:val="18"/>
          <w:szCs w:val="18"/>
        </w:rPr>
        <w:t xml:space="preserve">LOAN_AGREEMENT_MASTER_EN.md</w:t>
      </w:r>
    </w:p>
    <w:p>
      <w:pPr>
        <w:spacing w:after="40" w:before="160"/>
      </w:pPr>
      <w:r>
        <w:rPr>
          <w:rFonts w:ascii="Calibri" w:cs="Calibri" w:eastAsia="Calibri" w:hAnsi="Calibri"/>
          <w:b/>
          <w:bCs/>
          <w:color w:val="222222"/>
          <w:sz w:val="21"/>
          <w:szCs w:val="21"/>
        </w:rPr>
        <w:t xml:space="preserve">Default interest is an undefined cross-reference.</w:t>
      </w:r>
    </w:p>
    <w:p>
      <w:pPr>
        <w:spacing w:after="40"/>
        <w:jc w:val="both"/>
      </w:pPr>
      <w:r>
        <w:rPr>
          <w:rFonts w:ascii="Calibri" w:cs="Calibri" w:eastAsia="Calibri" w:hAnsi="Calibri"/>
          <w:color w:val="222222"/>
          <w:sz w:val="21"/>
          <w:szCs w:val="21"/>
        </w:rPr>
        <w:t xml:space="preserve">"Statutory default interest" is claimable without stating a rate; Renteloven's rate is only a fallback, and in a B2B loan the parties may fix their own rate (subject to Aftaleloven's fairness backstop).</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State the parties' own agreed default rate and whether it compounds.</w:t>
      </w:r>
    </w:p>
    <w:p>
      <w:pPr>
        <w:spacing w:after="40" w:before="160"/>
      </w:pPr>
      <w:r>
        <w:rPr>
          <w:rFonts w:ascii="Calibri" w:cs="Calibri" w:eastAsia="Calibri" w:hAnsi="Calibri"/>
          <w:b/>
          <w:bCs/>
          <w:color w:val="222222"/>
          <w:sz w:val="21"/>
          <w:szCs w:val="21"/>
        </w:rPr>
        <w:t xml:space="preserve">Security is listed but perfection is not addressed.</w:t>
      </w:r>
    </w:p>
    <w:p>
      <w:pPr>
        <w:spacing w:after="40"/>
        <w:jc w:val="both"/>
      </w:pPr>
      <w:r>
        <w:rPr>
          <w:rFonts w:ascii="Calibri" w:cs="Calibri" w:eastAsia="Calibri" w:hAnsi="Calibri"/>
          <w:color w:val="222222"/>
          <w:sz w:val="21"/>
          <w:szCs w:val="21"/>
        </w:rPr>
        <w:t xml:space="preserve">"Personal guarantee" and "pledge over assets" are placeholders without the steps to perfect security against third parties and on insolvency (tinglysning registration, virksomhedspant, notice to an account bank). Unperfected security can be defeated by other creditors.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Require the Borrower to complete all perfection / registration formalities appropriate to the security and specify priority ranking.</w:t>
      </w:r>
    </w:p>
    <w:p>
      <w:pPr>
        <w:spacing w:after="40" w:before="160"/>
      </w:pPr>
      <w:r>
        <w:rPr>
          <w:rFonts w:ascii="Calibri" w:cs="Calibri" w:eastAsia="Calibri" w:hAnsi="Calibri"/>
          <w:b/>
          <w:bCs/>
          <w:color w:val="222222"/>
          <w:sz w:val="21"/>
          <w:szCs w:val="21"/>
        </w:rPr>
        <w:t xml:space="preserve">Guarantor formalities and scope are missing.</w:t>
      </w:r>
    </w:p>
    <w:p>
      <w:pPr>
        <w:spacing w:after="40"/>
        <w:jc w:val="both"/>
      </w:pPr>
      <w:r>
        <w:rPr>
          <w:rFonts w:ascii="Calibri" w:cs="Calibri" w:eastAsia="Calibri" w:hAnsi="Calibri"/>
          <w:color w:val="222222"/>
          <w:sz w:val="21"/>
          <w:szCs w:val="21"/>
        </w:rPr>
        <w:t xml:space="preserve">If a natural person guarantees, the extent, duration and cap are undefined, the guarantor is not a signing party with its own representations, and subrogation is not addressed.</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Make any guarantor a party (or use a separate instrument) stating the cap, duration and subrogation rights.</w:t>
      </w:r>
    </w:p>
    <w:p>
      <w:pPr>
        <w:spacing w:after="40" w:before="160"/>
      </w:pPr>
      <w:r>
        <w:rPr>
          <w:rFonts w:ascii="Calibri" w:cs="Calibri" w:eastAsia="Calibri" w:hAnsi="Calibri"/>
          <w:b/>
          <w:bCs/>
          <w:color w:val="222222"/>
          <w:sz w:val="21"/>
          <w:szCs w:val="21"/>
        </w:rPr>
        <w:t xml:space="preserve">No negative pledge, cross-default or reporting covenants.</w:t>
      </w:r>
    </w:p>
    <w:p>
      <w:pPr>
        <w:spacing w:after="40"/>
        <w:jc w:val="both"/>
      </w:pPr>
      <w:r>
        <w:rPr>
          <w:rFonts w:ascii="Calibri" w:cs="Calibri" w:eastAsia="Calibri" w:hAnsi="Calibri"/>
          <w:color w:val="222222"/>
          <w:sz w:val="21"/>
          <w:szCs w:val="21"/>
        </w:rPr>
        <w:t xml:space="preserve">Events of default are limited to payment, insolvency and breach of "material obligations," with nothing on cross-default, negative pledge or reporting — thin for anything beyond a small loan.</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Add negative-pledge, cross-default and periodic reporting covenants scaled to the loan.</w:t>
      </w:r>
    </w:p>
    <w:p>
      <w:pPr>
        <w:spacing w:after="40" w:before="160"/>
      </w:pPr>
      <w:r>
        <w:rPr>
          <w:rFonts w:ascii="Calibri" w:cs="Calibri" w:eastAsia="Calibri" w:hAnsi="Calibri"/>
          <w:b/>
          <w:bCs/>
          <w:color w:val="222222"/>
          <w:sz w:val="21"/>
          <w:szCs w:val="21"/>
        </w:rPr>
        <w:t xml:space="preserve">Assignment is not tied to transfer of the security.</w:t>
      </w:r>
    </w:p>
    <w:p>
      <w:pPr>
        <w:spacing w:after="40"/>
        <w:jc w:val="both"/>
      </w:pPr>
      <w:r>
        <w:rPr>
          <w:rFonts w:ascii="Calibri" w:cs="Calibri" w:eastAsia="Calibri" w:hAnsi="Calibri"/>
          <w:color w:val="222222"/>
          <w:sz w:val="21"/>
          <w:szCs w:val="21"/>
        </w:rPr>
        <w:t xml:space="preserve">The Lender may assign its rights without addressing how linked security transfers, including any notice / registration needed to bind third parties.</w:t>
      </w:r>
    </w:p>
    <w:p>
      <w:pPr>
        <w:pBdr>
          <w:left w:val="single" w:color="2E5AAC" w:sz="18" w:space="12"/>
        </w:pBdr>
        <w:spacing w:after="120"/>
        <w:ind w:left="260"/>
        <w:jc w:val="both"/>
      </w:pPr>
      <w:r>
        <w:rPr>
          <w:rFonts w:ascii="Calibri" w:cs="Calibri" w:eastAsia="Calibri" w:hAnsi="Calibri"/>
          <w:b/>
          <w:bCs/>
          <w:i/>
          <w:iCs/>
          <w:color w:val="2E5AAC"/>
          <w:sz w:val="21"/>
          <w:szCs w:val="21"/>
        </w:rPr>
        <w:t xml:space="preserve">Suggested change:  </w:t>
      </w:r>
      <w:r>
        <w:rPr>
          <w:rFonts w:ascii="Calibri" w:cs="Calibri" w:eastAsia="Calibri" w:hAnsi="Calibri"/>
          <w:i/>
          <w:iCs/>
          <w:color w:val="595959"/>
          <w:sz w:val="21"/>
          <w:szCs w:val="21"/>
        </w:rPr>
        <w:t xml:space="preserve">Cross-reference the security instrument's transfer formalities in the assignment clause.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Scriboflow — Contract Template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5A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Template Legal Review</dc:title>
  <dc:creator>Scriboflow</dc:creator>
  <cp:lastModifiedBy>Un-named</cp:lastModifiedBy>
  <cp:revision>1</cp:revision>
  <dcterms:created xsi:type="dcterms:W3CDTF">2026-07-09T10:55:25.840Z</dcterms:created>
  <dcterms:modified xsi:type="dcterms:W3CDTF">2026-07-09T10:55:25.840Z</dcterms:modified>
</cp:coreProperties>
</file>

<file path=docProps/custom.xml><?xml version="1.0" encoding="utf-8"?>
<Properties xmlns="http://schemas.openxmlformats.org/officeDocument/2006/custom-properties" xmlns:vt="http://schemas.openxmlformats.org/officeDocument/2006/docPropsVTypes"/>
</file>