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Résumé du Régime d’Imposition en Côte d’Ivoire</w:t>
      </w:r>
    </w:p>
    <w:p>
      <w:r>
        <w:t>Ce tableau présente les régimes fiscaux applicables aux différentes formes juridiques d'entités en Côte d'Ivoire.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Forme juridique</w:t>
            </w:r>
          </w:p>
        </w:tc>
        <w:tc>
          <w:tcPr>
            <w:tcW w:type="dxa" w:w="1728"/>
          </w:tcPr>
          <w:p>
            <w:r>
              <w:t>Imposition des bénéfices</w:t>
            </w:r>
          </w:p>
        </w:tc>
        <w:tc>
          <w:tcPr>
            <w:tcW w:type="dxa" w:w="1728"/>
          </w:tcPr>
          <w:p>
            <w:r>
              <w:t>TVA</w:t>
            </w:r>
          </w:p>
        </w:tc>
        <w:tc>
          <w:tcPr>
            <w:tcW w:type="dxa" w:w="1728"/>
          </w:tcPr>
          <w:p>
            <w:r>
              <w:t>Patente</w:t>
            </w:r>
          </w:p>
        </w:tc>
        <w:tc>
          <w:tcPr>
            <w:tcW w:type="dxa" w:w="1728"/>
          </w:tcPr>
          <w:p>
            <w:r>
              <w:t>Autres remarques fiscales</w:t>
            </w:r>
          </w:p>
        </w:tc>
      </w:tr>
      <w:tr>
        <w:tc>
          <w:tcPr>
            <w:tcW w:type="dxa" w:w="1728"/>
          </w:tcPr>
          <w:p>
            <w:r>
              <w:t>SARLU</w:t>
            </w:r>
          </w:p>
        </w:tc>
        <w:tc>
          <w:tcPr>
            <w:tcW w:type="dxa" w:w="1728"/>
          </w:tcPr>
          <w:p>
            <w:r>
              <w:t>Impôt sur les BIC (25%)</w:t>
            </w:r>
          </w:p>
        </w:tc>
        <w:tc>
          <w:tcPr>
            <w:tcW w:type="dxa" w:w="1728"/>
          </w:tcPr>
          <w:p>
            <w:r>
              <w:t>Oui si CA &gt; 50M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Déclaration et obligations comptables classiques</w:t>
            </w:r>
          </w:p>
        </w:tc>
      </w:tr>
      <w:tr>
        <w:tc>
          <w:tcPr>
            <w:tcW w:type="dxa" w:w="1728"/>
          </w:tcPr>
          <w:p>
            <w:r>
              <w:t>SCI</w:t>
            </w:r>
          </w:p>
        </w:tc>
        <w:tc>
          <w:tcPr>
            <w:tcW w:type="dxa" w:w="1728"/>
          </w:tcPr>
          <w:p>
            <w:r>
              <w:t>Imposée si activité commerciale, sinon transparence fiscale</w:t>
            </w:r>
          </w:p>
        </w:tc>
        <w:tc>
          <w:tcPr>
            <w:tcW w:type="dxa" w:w="1728"/>
          </w:tcPr>
          <w:p>
            <w:r>
              <w:t>Non sauf activité commerciale</w:t>
            </w:r>
          </w:p>
        </w:tc>
        <w:tc>
          <w:tcPr>
            <w:tcW w:type="dxa" w:w="1728"/>
          </w:tcPr>
          <w:p>
            <w:r>
              <w:t>Non (si gestion passive)</w:t>
            </w:r>
          </w:p>
        </w:tc>
        <w:tc>
          <w:tcPr>
            <w:tcW w:type="dxa" w:w="1728"/>
          </w:tcPr>
          <w:p>
            <w:r>
              <w:t>Location nue : revenus fonciers imposés entre les mains des associés</w:t>
            </w:r>
          </w:p>
        </w:tc>
      </w:tr>
      <w:tr>
        <w:tc>
          <w:tcPr>
            <w:tcW w:type="dxa" w:w="1728"/>
          </w:tcPr>
          <w:p>
            <w:r>
              <w:t>Association</w:t>
            </w:r>
          </w:p>
        </w:tc>
        <w:tc>
          <w:tcPr>
            <w:tcW w:type="dxa" w:w="1728"/>
          </w:tcPr>
          <w:p>
            <w:r>
              <w:t>Exonérée sauf activité lucrative</w:t>
            </w:r>
          </w:p>
        </w:tc>
        <w:tc>
          <w:tcPr>
            <w:tcW w:type="dxa" w:w="1728"/>
          </w:tcPr>
          <w:p>
            <w:r>
              <w:t>Non sauf activité commerciale</w:t>
            </w:r>
          </w:p>
        </w:tc>
        <w:tc>
          <w:tcPr>
            <w:tcW w:type="dxa" w:w="1728"/>
          </w:tcPr>
          <w:p>
            <w:r>
              <w:t>Non sauf activité lucrative</w:t>
            </w:r>
          </w:p>
        </w:tc>
        <w:tc>
          <w:tcPr>
            <w:tcW w:type="dxa" w:w="1728"/>
          </w:tcPr>
          <w:p>
            <w:r>
              <w:t>Peut être requalifiée si concurrence avec le privé</w:t>
            </w:r>
          </w:p>
        </w:tc>
      </w:tr>
      <w:tr>
        <w:tc>
          <w:tcPr>
            <w:tcW w:type="dxa" w:w="1728"/>
          </w:tcPr>
          <w:p>
            <w:r>
              <w:t>Fondation</w:t>
            </w:r>
          </w:p>
        </w:tc>
        <w:tc>
          <w:tcPr>
            <w:tcW w:type="dxa" w:w="1728"/>
          </w:tcPr>
          <w:p>
            <w:r>
              <w:t>Exonérée si reconnue d’utilité publique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Aucune activité lucrative ou concurrentielle</w:t>
            </w:r>
          </w:p>
        </w:tc>
      </w:tr>
      <w:tr>
        <w:tc>
          <w:tcPr>
            <w:tcW w:type="dxa" w:w="1728"/>
          </w:tcPr>
          <w:p>
            <w:r>
              <w:t>SCOOPS</w:t>
            </w:r>
          </w:p>
        </w:tc>
        <w:tc>
          <w:tcPr>
            <w:tcW w:type="dxa" w:w="1728"/>
          </w:tcPr>
          <w:p>
            <w:r>
              <w:t>BIC ou BA selon activité (25%)</w:t>
            </w:r>
          </w:p>
        </w:tc>
        <w:tc>
          <w:tcPr>
            <w:tcW w:type="dxa" w:w="1728"/>
          </w:tcPr>
          <w:p>
            <w:r>
              <w:t>Oui si CA &gt; seuil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Exonérations possibles selon secteur (agriculture, artisanat)</w:t>
            </w:r>
          </w:p>
        </w:tc>
      </w:tr>
      <w:tr>
        <w:tc>
          <w:tcPr>
            <w:tcW w:type="dxa" w:w="1728"/>
          </w:tcPr>
          <w:p>
            <w:r>
              <w:t>Filiale</w:t>
            </w:r>
          </w:p>
        </w:tc>
        <w:tc>
          <w:tcPr>
            <w:tcW w:type="dxa" w:w="1728"/>
          </w:tcPr>
          <w:p>
            <w:r>
              <w:t>IS (25%)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Dividendes soumis à retenue à la source (15%) sauf convention</w:t>
            </w:r>
          </w:p>
        </w:tc>
      </w:tr>
      <w:tr>
        <w:tc>
          <w:tcPr>
            <w:tcW w:type="dxa" w:w="1728"/>
          </w:tcPr>
          <w:p>
            <w:r>
              <w:t>Start-up</w:t>
            </w:r>
          </w:p>
        </w:tc>
        <w:tc>
          <w:tcPr>
            <w:tcW w:type="dxa" w:w="1728"/>
          </w:tcPr>
          <w:p>
            <w:r>
              <w:t>IS 25% ou régime forfaitaire</w:t>
            </w:r>
          </w:p>
        </w:tc>
        <w:tc>
          <w:tcPr>
            <w:tcW w:type="dxa" w:w="1728"/>
          </w:tcPr>
          <w:p>
            <w:r>
              <w:t>Oui si activité taxable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Exonérations possibles via incubateurs ou programmes</w:t>
            </w:r>
          </w:p>
        </w:tc>
      </w:tr>
      <w:tr>
        <w:tc>
          <w:tcPr>
            <w:tcW w:type="dxa" w:w="1728"/>
          </w:tcPr>
          <w:p>
            <w:r>
              <w:t>Société en participation</w:t>
            </w:r>
          </w:p>
        </w:tc>
        <w:tc>
          <w:tcPr>
            <w:tcW w:type="dxa" w:w="1728"/>
          </w:tcPr>
          <w:p>
            <w:r>
              <w:t>Transparence fiscale : impôt payé par les associés</w:t>
            </w:r>
          </w:p>
        </w:tc>
        <w:tc>
          <w:tcPr>
            <w:tcW w:type="dxa" w:w="1728"/>
          </w:tcPr>
          <w:p>
            <w:r>
              <w:t>Non (pas en son nom)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Pas de personnalité juridique ni d’existence fiscale propre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