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Résumé du Régime d’Imposition d’une SASU en Côte d’Ivoire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Imposition</w:t>
            </w:r>
          </w:p>
        </w:tc>
        <w:tc>
          <w:tcPr>
            <w:tcW w:type="dxa" w:w="4320"/>
          </w:tcPr>
          <w:p>
            <w:r>
              <w:t>Détails pour une SASU</w:t>
            </w:r>
          </w:p>
        </w:tc>
      </w:tr>
      <w:tr>
        <w:tc>
          <w:tcPr>
            <w:tcW w:type="dxa" w:w="4320"/>
          </w:tcPr>
          <w:p>
            <w:r>
              <w:t>Type de fiscalité</w:t>
            </w:r>
          </w:p>
        </w:tc>
        <w:tc>
          <w:tcPr>
            <w:tcW w:type="dxa" w:w="4320"/>
          </w:tcPr>
          <w:p>
            <w:r>
              <w:t>Impôt sur les sociétés (IS)</w:t>
            </w:r>
          </w:p>
        </w:tc>
      </w:tr>
      <w:tr>
        <w:tc>
          <w:tcPr>
            <w:tcW w:type="dxa" w:w="4320"/>
          </w:tcPr>
          <w:p>
            <w:r>
              <w:t>Taux IS</w:t>
            </w:r>
          </w:p>
        </w:tc>
        <w:tc>
          <w:tcPr>
            <w:tcW w:type="dxa" w:w="4320"/>
          </w:tcPr>
          <w:p>
            <w:r>
              <w:t>25 % (ou 15 % si PME locale éligible)</w:t>
            </w:r>
          </w:p>
        </w:tc>
      </w:tr>
      <w:tr>
        <w:tc>
          <w:tcPr>
            <w:tcW w:type="dxa" w:w="4320"/>
          </w:tcPr>
          <w:p>
            <w:r>
              <w:t>TVA</w:t>
            </w:r>
          </w:p>
        </w:tc>
        <w:tc>
          <w:tcPr>
            <w:tcW w:type="dxa" w:w="4320"/>
          </w:tcPr>
          <w:p>
            <w:r>
              <w:t>Oui, obligatoire si CA &gt; 50M (services) ou &gt; 100M (biens)</w:t>
            </w:r>
          </w:p>
        </w:tc>
      </w:tr>
      <w:tr>
        <w:tc>
          <w:tcPr>
            <w:tcW w:type="dxa" w:w="4320"/>
          </w:tcPr>
          <w:p>
            <w:r>
              <w:t>Taux TVA</w:t>
            </w:r>
          </w:p>
        </w:tc>
        <w:tc>
          <w:tcPr>
            <w:tcW w:type="dxa" w:w="4320"/>
          </w:tcPr>
          <w:p>
            <w:r>
              <w:t>18 %</w:t>
            </w:r>
          </w:p>
        </w:tc>
      </w:tr>
      <w:tr>
        <w:tc>
          <w:tcPr>
            <w:tcW w:type="dxa" w:w="4320"/>
          </w:tcPr>
          <w:p>
            <w:r>
              <w:t>Droit à déduction de TVA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Comptabilité</w:t>
            </w:r>
          </w:p>
        </w:tc>
        <w:tc>
          <w:tcPr>
            <w:tcW w:type="dxa" w:w="4320"/>
          </w:tcPr>
          <w:p>
            <w:r>
              <w:t>Obligatoire, selon SYSCOHADA révisé</w:t>
            </w:r>
          </w:p>
        </w:tc>
      </w:tr>
      <w:tr>
        <w:tc>
          <w:tcPr>
            <w:tcW w:type="dxa" w:w="4320"/>
          </w:tcPr>
          <w:p>
            <w:r>
              <w:t>États financiers</w:t>
            </w:r>
          </w:p>
        </w:tc>
        <w:tc>
          <w:tcPr>
            <w:tcW w:type="dxa" w:w="4320"/>
          </w:tcPr>
          <w:p>
            <w:r>
              <w:t>À déposer annuellement au CEPICI</w:t>
            </w:r>
          </w:p>
        </w:tc>
      </w:tr>
      <w:tr>
        <w:tc>
          <w:tcPr>
            <w:tcW w:type="dxa" w:w="4320"/>
          </w:tcPr>
          <w:p>
            <w:r>
              <w:t>Autres taxes</w:t>
            </w:r>
          </w:p>
        </w:tc>
        <w:tc>
          <w:tcPr>
            <w:tcW w:type="dxa" w:w="4320"/>
          </w:tcPr>
          <w:p>
            <w:r>
              <w:t>Patente, taxe d’apprentissage, ITS, enregistrement</w:t>
            </w:r>
          </w:p>
        </w:tc>
      </w:tr>
      <w:tr>
        <w:tc>
          <w:tcPr>
            <w:tcW w:type="dxa" w:w="4320"/>
          </w:tcPr>
          <w:p>
            <w:r>
              <w:t>Dirigeant imposé à titre personnel ?</w:t>
            </w:r>
          </w:p>
        </w:tc>
        <w:tc>
          <w:tcPr>
            <w:tcW w:type="dxa" w:w="4320"/>
          </w:tcPr>
          <w:p>
            <w:r>
              <w:t>Non (rémunération soumise à l’ITS)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