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Résumé des Régimes d’Imposition pour une Entreprise Individuelle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Régime</w:t>
            </w:r>
          </w:p>
        </w:tc>
        <w:tc>
          <w:tcPr>
            <w:tcW w:type="dxa" w:w="1728"/>
          </w:tcPr>
          <w:p>
            <w:r>
              <w:t>Chiffre d’affaires annuel</w:t>
            </w:r>
          </w:p>
        </w:tc>
        <w:tc>
          <w:tcPr>
            <w:tcW w:type="dxa" w:w="1728"/>
          </w:tcPr>
          <w:p>
            <w:r>
              <w:t>TVA</w:t>
            </w:r>
          </w:p>
        </w:tc>
        <w:tc>
          <w:tcPr>
            <w:tcW w:type="dxa" w:w="1728"/>
          </w:tcPr>
          <w:p>
            <w:r>
              <w:t>Type d’imposition</w:t>
            </w:r>
          </w:p>
        </w:tc>
        <w:tc>
          <w:tcPr>
            <w:tcW w:type="dxa" w:w="1728"/>
          </w:tcPr>
          <w:p>
            <w:r>
              <w:t>Taux</w:t>
            </w:r>
          </w:p>
        </w:tc>
      </w:tr>
      <w:tr>
        <w:tc>
          <w:tcPr>
            <w:tcW w:type="dxa" w:w="1728"/>
          </w:tcPr>
          <w:p>
            <w:r>
              <w:t>Taxe communale (RE)</w:t>
            </w:r>
          </w:p>
        </w:tc>
        <w:tc>
          <w:tcPr>
            <w:tcW w:type="dxa" w:w="1728"/>
          </w:tcPr>
          <w:p>
            <w:r>
              <w:t>&lt; 5 millions FCFA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Forfaitaire</w:t>
            </w:r>
          </w:p>
        </w:tc>
        <w:tc>
          <w:tcPr>
            <w:tcW w:type="dxa" w:w="1728"/>
          </w:tcPr>
          <w:p>
            <w:r>
              <w:t>2 % ou 5 %</w:t>
            </w:r>
          </w:p>
        </w:tc>
      </w:tr>
      <w:tr>
        <w:tc>
          <w:tcPr>
            <w:tcW w:type="dxa" w:w="1728"/>
          </w:tcPr>
          <w:p>
            <w:r>
              <w:t>Taxe d’État (RE)</w:t>
            </w:r>
          </w:p>
        </w:tc>
        <w:tc>
          <w:tcPr>
            <w:tcW w:type="dxa" w:w="1728"/>
          </w:tcPr>
          <w:p>
            <w:r>
              <w:t>5 à 60 millions FCFA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Forfaitaire</w:t>
            </w:r>
          </w:p>
        </w:tc>
        <w:tc>
          <w:tcPr>
            <w:tcW w:type="dxa" w:w="1728"/>
          </w:tcPr>
          <w:p>
            <w:r>
              <w:t>5 %</w:t>
            </w:r>
          </w:p>
        </w:tc>
      </w:tr>
      <w:tr>
        <w:tc>
          <w:tcPr>
            <w:tcW w:type="dxa" w:w="1728"/>
          </w:tcPr>
          <w:p>
            <w:r>
              <w:t>RME</w:t>
            </w:r>
          </w:p>
        </w:tc>
        <w:tc>
          <w:tcPr>
            <w:tcW w:type="dxa" w:w="1728"/>
          </w:tcPr>
          <w:p>
            <w:r>
              <w:t>60 à 200 millions (commerce)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Forfaitaire</w:t>
            </w:r>
          </w:p>
        </w:tc>
        <w:tc>
          <w:tcPr>
            <w:tcW w:type="dxa" w:w="1728"/>
          </w:tcPr>
          <w:p>
            <w:r>
              <w:t>7 %</w:t>
            </w:r>
          </w:p>
        </w:tc>
      </w:tr>
      <w:tr>
        <w:tc>
          <w:tcPr>
            <w:tcW w:type="dxa" w:w="1728"/>
          </w:tcPr>
          <w:p>
            <w:r>
              <w:t>RME</w:t>
            </w:r>
          </w:p>
        </w:tc>
        <w:tc>
          <w:tcPr>
            <w:tcW w:type="dxa" w:w="1728"/>
          </w:tcPr>
          <w:p>
            <w:r>
              <w:t>60 à 100 millions (services)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Forfaitaire</w:t>
            </w:r>
          </w:p>
        </w:tc>
        <w:tc>
          <w:tcPr>
            <w:tcW w:type="dxa" w:w="1728"/>
          </w:tcPr>
          <w:p>
            <w:r>
              <w:t>7 %</w:t>
            </w:r>
          </w:p>
        </w:tc>
      </w:tr>
      <w:tr>
        <w:tc>
          <w:tcPr>
            <w:tcW w:type="dxa" w:w="1728"/>
          </w:tcPr>
          <w:p>
            <w:r>
              <w:t>RSI</w:t>
            </w:r>
          </w:p>
        </w:tc>
        <w:tc>
          <w:tcPr>
            <w:tcW w:type="dxa" w:w="1728"/>
          </w:tcPr>
          <w:p>
            <w:r>
              <w:t>200 à 500 millions FCFA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Réel simplifié</w:t>
            </w:r>
          </w:p>
        </w:tc>
        <w:tc>
          <w:tcPr>
            <w:tcW w:type="dxa" w:w="1728"/>
          </w:tcPr>
          <w:p>
            <w:r>
              <w:t>Selon bénéfice</w:t>
            </w:r>
          </w:p>
        </w:tc>
      </w:tr>
      <w:tr>
        <w:tc>
          <w:tcPr>
            <w:tcW w:type="dxa" w:w="1728"/>
          </w:tcPr>
          <w:p>
            <w:r>
              <w:t>RNI</w:t>
            </w:r>
          </w:p>
        </w:tc>
        <w:tc>
          <w:tcPr>
            <w:tcW w:type="dxa" w:w="1728"/>
          </w:tcPr>
          <w:p>
            <w:r>
              <w:t>&gt; 500 millions FCFA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Réel normal</w:t>
            </w:r>
          </w:p>
        </w:tc>
        <w:tc>
          <w:tcPr>
            <w:tcW w:type="dxa" w:w="1728"/>
          </w:tcPr>
          <w:p>
            <w:r>
              <w:t>Selon bénéfice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