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Tableaux Résumés des Régimes d’Imposition en Côte d’Ivoire</w:t>
      </w:r>
    </w:p>
    <w:p>
      <w:pPr>
        <w:pStyle w:val="Heading2"/>
      </w:pPr>
      <w:r>
        <w:t>SARLU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Impôt sur les sociétés (IS)</w:t>
            </w:r>
          </w:p>
        </w:tc>
      </w:tr>
      <w:tr>
        <w:tc>
          <w:tcPr>
            <w:tcW w:type="dxa" w:w="4320"/>
          </w:tcPr>
          <w:p>
            <w:r>
              <w:t>Taux IS</w:t>
            </w:r>
          </w:p>
        </w:tc>
        <w:tc>
          <w:tcPr>
            <w:tcW w:type="dxa" w:w="4320"/>
          </w:tcPr>
          <w:p>
            <w:r>
              <w:t>25 % (ou 15 % si PME locale éligible)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Oui, selon seuils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Obligatoire, selon SYSCOHADA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Patente, ITS, taxe d’apprentissage</w:t>
            </w:r>
          </w:p>
        </w:tc>
      </w:tr>
    </w:tbl>
    <w:p>
      <w:pPr>
        <w:pStyle w:val="Heading2"/>
      </w:pPr>
      <w:r>
        <w:t>ONG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Exonérée sauf si activités lucratives</w:t>
            </w:r>
          </w:p>
        </w:tc>
      </w:tr>
      <w:tr>
        <w:tc>
          <w:tcPr>
            <w:tcW w:type="dxa" w:w="4320"/>
          </w:tcPr>
          <w:p>
            <w:r>
              <w:t>IS</w:t>
            </w:r>
          </w:p>
        </w:tc>
        <w:tc>
          <w:tcPr>
            <w:tcW w:type="dxa" w:w="4320"/>
          </w:tcPr>
          <w:p>
            <w:r>
              <w:t>Non sauf en cas d’activités commerciales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Exonération possible selon les projets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 pour transparence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ITS sur salaires, droits d’enregistrement</w:t>
            </w:r>
          </w:p>
        </w:tc>
      </w:tr>
    </w:tbl>
    <w:p>
      <w:pPr>
        <w:pStyle w:val="Heading2"/>
      </w:pPr>
      <w:r>
        <w:t>SNC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Impôt sur le revenu (IR) ou IS (option)</w:t>
            </w:r>
          </w:p>
        </w:tc>
      </w:tr>
      <w:tr>
        <w:tc>
          <w:tcPr>
            <w:tcW w:type="dxa" w:w="4320"/>
          </w:tcPr>
          <w:p>
            <w:r>
              <w:t>Taux IR</w:t>
            </w:r>
          </w:p>
        </w:tc>
        <w:tc>
          <w:tcPr>
            <w:tcW w:type="dxa" w:w="4320"/>
          </w:tcPr>
          <w:p>
            <w:r>
              <w:t>Progressif selon bénéfice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Oui, selon seuils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</w:t>
            </w:r>
          </w:p>
        </w:tc>
      </w:tr>
      <w:tr>
        <w:tc>
          <w:tcPr>
            <w:tcW w:type="dxa" w:w="4320"/>
          </w:tcPr>
          <w:p>
            <w:r>
              <w:t>Responsabilité</w:t>
            </w:r>
          </w:p>
        </w:tc>
        <w:tc>
          <w:tcPr>
            <w:tcW w:type="dxa" w:w="4320"/>
          </w:tcPr>
          <w:p>
            <w:r>
              <w:t>Indéfinie et solidaire des associés</w:t>
            </w:r>
          </w:p>
        </w:tc>
      </w:tr>
    </w:tbl>
    <w:p>
      <w:pPr>
        <w:pStyle w:val="Heading2"/>
      </w:pPr>
      <w:r>
        <w:t>SCS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IR pour les associés commandités, IS possible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Oui, selon activité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</w:t>
            </w:r>
          </w:p>
        </w:tc>
      </w:tr>
      <w:tr>
        <w:tc>
          <w:tcPr>
            <w:tcW w:type="dxa" w:w="4320"/>
          </w:tcPr>
          <w:p>
            <w:r>
              <w:t>Responsabilité</w:t>
            </w:r>
          </w:p>
        </w:tc>
        <w:tc>
          <w:tcPr>
            <w:tcW w:type="dxa" w:w="4320"/>
          </w:tcPr>
          <w:p>
            <w:r>
              <w:t>Commandités illimitée / commanditaires limitée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Patente, ITS</w:t>
            </w:r>
          </w:p>
        </w:tc>
      </w:tr>
    </w:tbl>
    <w:p>
      <w:pPr>
        <w:pStyle w:val="Heading2"/>
      </w:pPr>
      <w:r>
        <w:t>SA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Impôt sur les sociétés (IS)</w:t>
            </w:r>
          </w:p>
        </w:tc>
      </w:tr>
      <w:tr>
        <w:tc>
          <w:tcPr>
            <w:tcW w:type="dxa" w:w="4320"/>
          </w:tcPr>
          <w:p>
            <w:r>
              <w:t>Taux IS</w:t>
            </w:r>
          </w:p>
        </w:tc>
        <w:tc>
          <w:tcPr>
            <w:tcW w:type="dxa" w:w="4320"/>
          </w:tcPr>
          <w:p>
            <w:r>
              <w:t>25 % (ou 15 % pour PME locales)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Stricte, avec commissaire aux comptes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ITS, taxe apprentissage, patente</w:t>
            </w:r>
          </w:p>
        </w:tc>
      </w:tr>
    </w:tbl>
    <w:p>
      <w:pPr>
        <w:pStyle w:val="Heading2"/>
      </w:pPr>
      <w:r>
        <w:t>SAS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IS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Oui, selon seuils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Obligatoire, SYSCOHADA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ITS, apprentissage, patente</w:t>
            </w:r>
          </w:p>
        </w:tc>
      </w:tr>
      <w:tr>
        <w:tc>
          <w:tcPr>
            <w:tcW w:type="dxa" w:w="4320"/>
          </w:tcPr>
          <w:p>
            <w:r>
              <w:t>Souplesse juridique</w:t>
            </w:r>
          </w:p>
        </w:tc>
        <w:tc>
          <w:tcPr>
            <w:tcW w:type="dxa" w:w="4320"/>
          </w:tcPr>
          <w:p>
            <w:r>
              <w:t>Très élevée</w:t>
            </w:r>
          </w:p>
        </w:tc>
      </w:tr>
    </w:tbl>
    <w:p>
      <w:pPr>
        <w:pStyle w:val="Heading2"/>
      </w:pPr>
      <w:r>
        <w:t>SARL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Élément</w:t>
            </w:r>
          </w:p>
        </w:tc>
        <w:tc>
          <w:tcPr>
            <w:tcW w:type="dxa" w:w="4320"/>
          </w:tcPr>
          <w:p>
            <w:r>
              <w:t>Détail</w:t>
            </w:r>
          </w:p>
        </w:tc>
      </w:tr>
      <w:tr>
        <w:tc>
          <w:tcPr>
            <w:tcW w:type="dxa" w:w="4320"/>
          </w:tcPr>
          <w:p>
            <w:r>
              <w:t>Type de fiscalité</w:t>
            </w:r>
          </w:p>
        </w:tc>
        <w:tc>
          <w:tcPr>
            <w:tcW w:type="dxa" w:w="4320"/>
          </w:tcPr>
          <w:p>
            <w:r>
              <w:t>IS (par défaut)</w:t>
            </w:r>
          </w:p>
        </w:tc>
      </w:tr>
      <w:tr>
        <w:tc>
          <w:tcPr>
            <w:tcW w:type="dxa" w:w="4320"/>
          </w:tcPr>
          <w:p>
            <w:r>
              <w:t>Taux IS</w:t>
            </w:r>
          </w:p>
        </w:tc>
        <w:tc>
          <w:tcPr>
            <w:tcW w:type="dxa" w:w="4320"/>
          </w:tcPr>
          <w:p>
            <w:r>
              <w:t>25 % ou 15 % PME</w:t>
            </w:r>
          </w:p>
        </w:tc>
      </w:tr>
      <w:tr>
        <w:tc>
          <w:tcPr>
            <w:tcW w:type="dxa" w:w="4320"/>
          </w:tcPr>
          <w:p>
            <w:r>
              <w:t>TVA</w:t>
            </w:r>
          </w:p>
        </w:tc>
        <w:tc>
          <w:tcPr>
            <w:tcW w:type="dxa" w:w="4320"/>
          </w:tcPr>
          <w:p>
            <w:r>
              <w:t>Oui si seuils dépassés</w:t>
            </w:r>
          </w:p>
        </w:tc>
      </w:tr>
      <w:tr>
        <w:tc>
          <w:tcPr>
            <w:tcW w:type="dxa" w:w="4320"/>
          </w:tcPr>
          <w:p>
            <w:r>
              <w:t>Comptabilité</w:t>
            </w:r>
          </w:p>
        </w:tc>
        <w:tc>
          <w:tcPr>
            <w:tcW w:type="dxa" w:w="4320"/>
          </w:tcPr>
          <w:p>
            <w:r>
              <w:t>Obligatoire selon SYSCOHADA</w:t>
            </w:r>
          </w:p>
        </w:tc>
      </w:tr>
      <w:tr>
        <w:tc>
          <w:tcPr>
            <w:tcW w:type="dxa" w:w="4320"/>
          </w:tcPr>
          <w:p>
            <w:r>
              <w:t>Autres taxes</w:t>
            </w:r>
          </w:p>
        </w:tc>
        <w:tc>
          <w:tcPr>
            <w:tcW w:type="dxa" w:w="4320"/>
          </w:tcPr>
          <w:p>
            <w:r>
              <w:t>ITS, patente, taxe apprentissage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