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i w:val="false"/>
          <w:iCs w:val="false"/>
          <w:strike w:val="false"/>
          <w:color w:val="000000"/>
          <w:sz w:val="22"/>
          <w:szCs w:val="22"/>
        </w:rPr>
        <w:t xml:space="preserve">CONFIDENTIEL — Cabinet du Ministre</w:t>
      </w:r>
    </w:p>
    <w:p>
      <w:pPr>
        <w:pBdr>
          <w:bottom w:val="single" w:color="CC0000" w:sz="6"/>
        </w:pBdr>
        <w:spacing w:after="240" w:before="240"/>
      </w:pPr>
    </w:p>
    <w:p>
      <w:pPr>
        <w:pStyle w:val="Heading1"/>
        <w:spacing w:after="120" w:before="480" w:line="312" w:lineRule="auto"/>
        <w:jc w:val="center"/>
      </w:pPr>
      <w:r>
        <w:rPr>
          <w:rFonts w:ascii="Calibri" w:cs="Calibri" w:eastAsia="Calibri" w:hAnsi="Calibri"/>
          <w:color w:val="1A1A1A"/>
          <w:sz w:val="52"/>
          <w:szCs w:val="52"/>
        </w:rPr>
        <w:t xml:space="preserve">Intelligence Artificielle Générale (AGI)</w:t>
      </w:r>
    </w:p>
    <w:p>
      <w:pPr>
        <w:spacing w:after="240" w:before="60" w:line="360" w:lineRule="auto"/>
        <w:jc w:val="center"/>
      </w:pPr>
      <w:r>
        <w:rPr>
          <w:rFonts w:ascii="Calibri" w:cs="Calibri" w:eastAsia="Calibri" w:hAnsi="Calibri"/>
          <w:b/>
          <w:bCs/>
          <w:i w:val="false"/>
          <w:iCs w:val="false"/>
          <w:strike w:val="false"/>
          <w:color w:val="1A1A1A"/>
          <w:sz w:val="22"/>
          <w:szCs w:val="22"/>
        </w:rPr>
        <w:t xml:space="preserve">Rapport de Situation et Recommandations Stratégiques</w:t>
      </w:r>
    </w:p>
    <w:p>
      <w:pPr>
        <w:spacing w:after="120" w:before="60" w:line="360" w:lineRule="auto"/>
        <w:jc w:val="center"/>
      </w:pPr>
      <w:r>
        <w:rPr>
          <w:rFonts w:ascii="Calibri" w:cs="Calibri" w:eastAsia="Calibri" w:hAnsi="Calibri"/>
          <w:b w:val="false"/>
          <w:bCs w:val="false"/>
          <w:i/>
          <w:iCs/>
          <w:strike w:val="false"/>
          <w:color w:val="000000"/>
          <w:sz w:val="22"/>
          <w:szCs w:val="22"/>
        </w:rPr>
        <w:t xml:space="preserve">« Ce qui vient après : Feuille de route pour le Québec à l’horizon 2030 »</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Avril 2026</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Préparé par : Institut stratégique — Direction IA et technologies émergentes</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Synthèse exécutive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 rapport présente une évaluation stratégique de la trajectoire de l’intelligence artificielle générale (AGI) et de ses implications pour le Québec. Il repose sur l’analyse de données ouvertes, de déclarations publiques des principaux laboratoires, de rapports institutionnels et de modélisations prospectives. Quatre constats clés structurent l’analyse.</w:t>
      </w:r>
    </w:p>
    <w:p>
      <w:pPr>
        <w:pStyle w:val="Heading2"/>
        <w:spacing w:after="120" w:before="360" w:line="312" w:lineRule="auto"/>
      </w:pPr>
      <w:r>
        <w:rPr>
          <w:rFonts w:ascii="Calibri" w:cs="Calibri" w:eastAsia="Calibri" w:hAnsi="Calibri"/>
          <w:color w:val="1A1A1A"/>
          <w:sz w:val="36"/>
          <w:szCs w:val="36"/>
        </w:rPr>
        <w:t xml:space="preserve">Constats clés</w:t>
      </w:r>
    </w:p>
    <w:p>
      <w:pPr>
        <w:spacing w:after="120" w:before="60" w:line="360" w:lineRule="auto"/>
      </w:pPr>
      <w:r>
        <w:rPr>
          <w:rFonts w:ascii="Calibri" w:cs="Calibri" w:eastAsia="Calibri" w:hAnsi="Calibri"/>
          <w:b/>
          <w:bCs/>
          <w:i w:val="false"/>
          <w:iCs w:val="false"/>
          <w:strike w:val="false"/>
          <w:color w:val="000000"/>
          <w:sz w:val="22"/>
          <w:szCs w:val="22"/>
        </w:rPr>
        <w:t xml:space="preserve">Constat 1 : L’AGI fonctionnelle est à l’horizon 2027-2030, pas 2040.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Les calendriers internes des principaux laboratoires d’IA (OpenAI, Anthropic, Google DeepMind) convergent vers </w:t>
      </w:r>
      <w:r>
        <w:rPr>
          <w:rFonts w:ascii="Calibri" w:cs="Calibri" w:eastAsia="Calibri" w:hAnsi="Calibri"/>
          <w:b/>
          <w:bCs/>
          <w:i w:val="false"/>
          <w:iCs w:val="false"/>
          <w:strike w:val="false"/>
          <w:color w:val="000000"/>
          <w:sz w:val="22"/>
          <w:szCs w:val="22"/>
        </w:rPr>
        <w:t xml:space="preserve">2027-2028</w:t>
      </w:r>
      <w:r>
        <w:rPr>
          <w:rFonts w:ascii="Calibri" w:cs="Calibri" w:eastAsia="Calibri" w:hAnsi="Calibri"/>
          <w:b w:val="false"/>
          <w:bCs w:val="false"/>
          <w:i w:val="false"/>
          <w:iCs w:val="false"/>
          <w:strike w:val="false"/>
          <w:color w:val="000000"/>
          <w:sz w:val="22"/>
          <w:szCs w:val="22"/>
        </w:rPr>
        <w:t xml:space="preserve"> comme hypothèse de planification opérationnelle, et non comme objectif aspirationnel. Le consensus expert, fondé sur plus de </w:t>
      </w:r>
      <w:r>
        <w:rPr>
          <w:rFonts w:ascii="Calibri" w:cs="Calibri" w:eastAsia="Calibri" w:hAnsi="Calibri"/>
          <w:b/>
          <w:bCs/>
          <w:i w:val="false"/>
          <w:iCs w:val="false"/>
          <w:strike w:val="false"/>
          <w:color w:val="000000"/>
          <w:sz w:val="22"/>
          <w:szCs w:val="22"/>
        </w:rPr>
        <w:t xml:space="preserve">9 800 prédictions agrégées</w:t>
      </w:r>
      <w:r>
        <w:rPr>
          <w:rFonts w:ascii="Calibri" w:cs="Calibri" w:eastAsia="Calibri" w:hAnsi="Calibri"/>
          <w:b w:val="false"/>
          <w:bCs w:val="false"/>
          <w:i w:val="false"/>
          <w:iCs w:val="false"/>
          <w:strike w:val="false"/>
          <w:color w:val="000000"/>
          <w:sz w:val="22"/>
          <w:szCs w:val="22"/>
        </w:rPr>
        <w:t xml:space="preserve">, situe désormais l’arrivée médiane de l’AGI au début des années 2030, contre les années 2040 précédemment. Les entrepreneurs du secteur anticipent 2027-2028. Sur le benchmark ARC-AGI, conçu pour être « résistant à l’AGI », la performance est passée de </w:t>
      </w:r>
      <w:r>
        <w:rPr>
          <w:rFonts w:ascii="Calibri" w:cs="Calibri" w:eastAsia="Calibri" w:hAnsi="Calibri"/>
          <w:b/>
          <w:bCs/>
          <w:i w:val="false"/>
          <w:iCs w:val="false"/>
          <w:strike w:val="false"/>
          <w:color w:val="000000"/>
          <w:sz w:val="22"/>
          <w:szCs w:val="22"/>
        </w:rPr>
        <w:t xml:space="preserve">0 %</w:t>
      </w:r>
      <w:r>
        <w:rPr>
          <w:rFonts w:ascii="Calibri" w:cs="Calibri" w:eastAsia="Calibri" w:hAnsi="Calibri"/>
          <w:b w:val="false"/>
          <w:bCs w:val="false"/>
          <w:i w:val="false"/>
          <w:iCs w:val="false"/>
          <w:strike w:val="false"/>
          <w:color w:val="000000"/>
          <w:sz w:val="22"/>
          <w:szCs w:val="22"/>
        </w:rPr>
        <w:t xml:space="preserve"> (2023) à </w:t>
      </w:r>
      <w:r>
        <w:rPr>
          <w:rFonts w:ascii="Calibri" w:cs="Calibri" w:eastAsia="Calibri" w:hAnsi="Calibri"/>
          <w:b/>
          <w:bCs/>
          <w:i w:val="false"/>
          <w:iCs w:val="false"/>
          <w:strike w:val="false"/>
          <w:color w:val="000000"/>
          <w:sz w:val="22"/>
          <w:szCs w:val="22"/>
        </w:rPr>
        <w:t xml:space="preserve">85,3 %</w:t>
      </w:r>
      <w:r>
        <w:rPr>
          <w:rFonts w:ascii="Calibri" w:cs="Calibri" w:eastAsia="Calibri" w:hAnsi="Calibri"/>
          <w:b w:val="false"/>
          <w:bCs w:val="false"/>
          <w:i w:val="false"/>
          <w:iCs w:val="false"/>
          <w:strike w:val="false"/>
          <w:color w:val="000000"/>
          <w:sz w:val="22"/>
          <w:szCs w:val="22"/>
        </w:rPr>
        <w:t xml:space="preserve"> (décembre 2024), dépassant les projections les plus optimistes. Déclarations publiques : Sam Altman (OpenAI) : 85 % de confiance d’ici 2027. Dario Amodei (Anthropic) : 80 % de confiance pour 2026-2027. Jensen Huang (NVIDIA) : 2028-2029. Demis Hassabis (DeepMind) : 2030-2033.</w:t>
      </w:r>
    </w:p>
    <w:p>
      <w:pPr>
        <w:spacing w:after="120" w:before="60" w:line="360" w:lineRule="auto"/>
      </w:pPr>
      <w:r>
        <w:rPr>
          <w:rFonts w:ascii="Calibri" w:cs="Calibri" w:eastAsia="Calibri" w:hAnsi="Calibri"/>
          <w:b/>
          <w:bCs/>
          <w:i w:val="false"/>
          <w:iCs w:val="false"/>
          <w:strike w:val="false"/>
          <w:color w:val="000000"/>
          <w:sz w:val="22"/>
          <w:szCs w:val="22"/>
        </w:rPr>
        <w:t xml:space="preserve">Constat 2 : La course à la souveraineté computationnelle redéfinit la géopolitique.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Plus de </w:t>
      </w:r>
      <w:r>
        <w:rPr>
          <w:rFonts w:ascii="Calibri" w:cs="Calibri" w:eastAsia="Calibri" w:hAnsi="Calibri"/>
          <w:b/>
          <w:bCs/>
          <w:i w:val="false"/>
          <w:iCs w:val="false"/>
          <w:strike w:val="false"/>
          <w:color w:val="000000"/>
          <w:sz w:val="22"/>
          <w:szCs w:val="22"/>
        </w:rPr>
        <w:t xml:space="preserve">40 pays</w:t>
      </w:r>
      <w:r>
        <w:rPr>
          <w:rFonts w:ascii="Calibri" w:cs="Calibri" w:eastAsia="Calibri" w:hAnsi="Calibri"/>
          <w:b w:val="false"/>
          <w:bCs w:val="false"/>
          <w:i w:val="false"/>
          <w:iCs w:val="false"/>
          <w:strike w:val="false"/>
          <w:color w:val="000000"/>
          <w:sz w:val="22"/>
          <w:szCs w:val="22"/>
        </w:rPr>
        <w:t xml:space="preserve"> ont lancé des stratégies nationales d’IA, avec un investissement combiné en infrastructure souveraine dépassant </w:t>
      </w:r>
      <w:r>
        <w:rPr>
          <w:rFonts w:ascii="Calibri" w:cs="Calibri" w:eastAsia="Calibri" w:hAnsi="Calibri"/>
          <w:b/>
          <w:bCs/>
          <w:i w:val="false"/>
          <w:iCs w:val="false"/>
          <w:strike w:val="false"/>
          <w:color w:val="000000"/>
          <w:sz w:val="22"/>
          <w:szCs w:val="22"/>
        </w:rPr>
        <w:t xml:space="preserve">80 milliards de dollars</w:t>
      </w:r>
      <w:r>
        <w:rPr>
          <w:rFonts w:ascii="Calibri" w:cs="Calibri" w:eastAsia="Calibri" w:hAnsi="Calibri"/>
          <w:b w:val="false"/>
          <w:bCs w:val="false"/>
          <w:i w:val="false"/>
          <w:iCs w:val="false"/>
          <w:strike w:val="false"/>
          <w:color w:val="000000"/>
          <w:sz w:val="22"/>
          <w:szCs w:val="22"/>
        </w:rPr>
        <w:t xml:space="preserve"> (OCDE 2026). La France a conclu un accord de centres de données avec les Émirats arabes unis évalué à </w:t>
      </w:r>
      <w:r>
        <w:rPr>
          <w:rFonts w:ascii="Calibri" w:cs="Calibri" w:eastAsia="Calibri" w:hAnsi="Calibri"/>
          <w:b/>
          <w:bCs/>
          <w:i w:val="false"/>
          <w:iCs w:val="false"/>
          <w:strike w:val="false"/>
          <w:color w:val="000000"/>
          <w:sz w:val="22"/>
          <w:szCs w:val="22"/>
        </w:rPr>
        <w:t xml:space="preserve">30-50 milliards d’euros</w:t>
      </w:r>
      <w:r>
        <w:rPr>
          <w:rFonts w:ascii="Calibri" w:cs="Calibri" w:eastAsia="Calibri" w:hAnsi="Calibri"/>
          <w:b w:val="false"/>
          <w:bCs w:val="false"/>
          <w:i w:val="false"/>
          <w:iCs w:val="false"/>
          <w:strike w:val="false"/>
          <w:color w:val="000000"/>
          <w:sz w:val="22"/>
          <w:szCs w:val="22"/>
        </w:rPr>
        <w:t xml:space="preserve">. L’Arabie saoudite investit plus de </w:t>
      </w:r>
      <w:r>
        <w:rPr>
          <w:rFonts w:ascii="Calibri" w:cs="Calibri" w:eastAsia="Calibri" w:hAnsi="Calibri"/>
          <w:b/>
          <w:bCs/>
          <w:i w:val="false"/>
          <w:iCs w:val="false"/>
          <w:strike w:val="false"/>
          <w:color w:val="000000"/>
          <w:sz w:val="22"/>
          <w:szCs w:val="22"/>
        </w:rPr>
        <w:t xml:space="preserve">100 milliards de dollars</w:t>
      </w:r>
      <w:r>
        <w:rPr>
          <w:rFonts w:ascii="Calibri" w:cs="Calibri" w:eastAsia="Calibri" w:hAnsi="Calibri"/>
          <w:b w:val="false"/>
          <w:bCs w:val="false"/>
          <w:i w:val="false"/>
          <w:iCs w:val="false"/>
          <w:strike w:val="false"/>
          <w:color w:val="000000"/>
          <w:sz w:val="22"/>
          <w:szCs w:val="22"/>
        </w:rPr>
        <w:t xml:space="preserve"> (HUMAIN, Project Transcendence). L’Inde a lancé l’IndiaAI Mission à </w:t>
      </w:r>
      <w:r>
        <w:rPr>
          <w:rFonts w:ascii="Calibri" w:cs="Calibri" w:eastAsia="Calibri" w:hAnsi="Calibri"/>
          <w:b/>
          <w:bCs/>
          <w:i w:val="false"/>
          <w:iCs w:val="false"/>
          <w:strike w:val="false"/>
          <w:color w:val="000000"/>
          <w:sz w:val="22"/>
          <w:szCs w:val="22"/>
        </w:rPr>
        <w:t xml:space="preserve">1,24 milliard de dollars</w:t>
      </w:r>
      <w:r>
        <w:rPr>
          <w:rFonts w:ascii="Calibri" w:cs="Calibri" w:eastAsia="Calibri" w:hAnsi="Calibri"/>
          <w:b w:val="false"/>
          <w:bCs w:val="false"/>
          <w:i w:val="false"/>
          <w:iCs w:val="false"/>
          <w:strike w:val="false"/>
          <w:color w:val="000000"/>
          <w:sz w:val="22"/>
          <w:szCs w:val="22"/>
        </w:rPr>
        <w:t xml:space="preserve">. Le Japon consacre </w:t>
      </w:r>
      <w:r>
        <w:rPr>
          <w:rFonts w:ascii="Calibri" w:cs="Calibri" w:eastAsia="Calibri" w:hAnsi="Calibri"/>
          <w:b/>
          <w:bCs/>
          <w:i w:val="false"/>
          <w:iCs w:val="false"/>
          <w:strike w:val="false"/>
          <w:color w:val="000000"/>
          <w:sz w:val="22"/>
          <w:szCs w:val="22"/>
        </w:rPr>
        <w:t xml:space="preserve">13 milliards de dollars</w:t>
      </w:r>
      <w:r>
        <w:rPr>
          <w:rFonts w:ascii="Calibri" w:cs="Calibri" w:eastAsia="Calibri" w:hAnsi="Calibri"/>
          <w:b w:val="false"/>
          <w:bCs w:val="false"/>
          <w:i w:val="false"/>
          <w:iCs w:val="false"/>
          <w:strike w:val="false"/>
          <w:color w:val="000000"/>
          <w:sz w:val="22"/>
          <w:szCs w:val="22"/>
        </w:rPr>
        <w:t xml:space="preserve"> au calcul souverain. En regard, la Stratégie pancanadienne en IA totalise </w:t>
      </w:r>
      <w:r>
        <w:rPr>
          <w:rFonts w:ascii="Calibri" w:cs="Calibri" w:eastAsia="Calibri" w:hAnsi="Calibri"/>
          <w:b/>
          <w:bCs/>
          <w:i w:val="false"/>
          <w:iCs w:val="false"/>
          <w:strike w:val="false"/>
          <w:color w:val="000000"/>
          <w:sz w:val="22"/>
          <w:szCs w:val="22"/>
        </w:rPr>
        <w:t xml:space="preserve">443,8 millions de dollars canadiens</w:t>
      </w:r>
      <w:r>
        <w:rPr>
          <w:rFonts w:ascii="Calibri" w:cs="Calibri" w:eastAsia="Calibri" w:hAnsi="Calibri"/>
          <w:b w:val="false"/>
          <w:bCs w:val="false"/>
          <w:i w:val="false"/>
          <w:iCs w:val="false"/>
          <w:strike w:val="false"/>
          <w:color w:val="000000"/>
          <w:sz w:val="22"/>
          <w:szCs w:val="22"/>
        </w:rPr>
        <w:t xml:space="preserve"> via le CIFAR, Mila, Amii et le Vector Institute — soit des ordres de grandeur en deçà des nations comparables. Sans infrastructure de calcul souveraine, le Québec dépend entièrement des hyperscalers américains pour l’entraînement et l’inférence IA.</w:t>
      </w:r>
    </w:p>
    <w:p>
      <w:pPr>
        <w:spacing w:after="120" w:before="60" w:line="360" w:lineRule="auto"/>
      </w:pPr>
      <w:r>
        <w:rPr>
          <w:rFonts w:ascii="Calibri" w:cs="Calibri" w:eastAsia="Calibri" w:hAnsi="Calibri"/>
          <w:b/>
          <w:bCs/>
          <w:i w:val="false"/>
          <w:iCs w:val="false"/>
          <w:strike w:val="false"/>
          <w:color w:val="000000"/>
          <w:sz w:val="22"/>
          <w:szCs w:val="22"/>
        </w:rPr>
        <w:t xml:space="preserve">Constat 3 : L’IA embodied et la robotique humanoïde sont la prochaine frontière post-AGI.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 marché de la robotique humanoïde est estimé à </w:t>
      </w:r>
      <w:r>
        <w:rPr>
          <w:rFonts w:ascii="Calibri" w:cs="Calibri" w:eastAsia="Calibri" w:hAnsi="Calibri"/>
          <w:b/>
          <w:bCs/>
          <w:i w:val="false"/>
          <w:iCs w:val="false"/>
          <w:strike w:val="false"/>
          <w:color w:val="000000"/>
          <w:sz w:val="22"/>
          <w:szCs w:val="22"/>
        </w:rPr>
        <w:t xml:space="preserve">5,44 milliards de dollars</w:t>
      </w:r>
      <w:r>
        <w:rPr>
          <w:rFonts w:ascii="Calibri" w:cs="Calibri" w:eastAsia="Calibri" w:hAnsi="Calibri"/>
          <w:b w:val="false"/>
          <w:bCs w:val="false"/>
          <w:i w:val="false"/>
          <w:iCs w:val="false"/>
          <w:strike w:val="false"/>
          <w:color w:val="000000"/>
          <w:sz w:val="22"/>
          <w:szCs w:val="22"/>
        </w:rPr>
        <w:t xml:space="preserve"> en 2025, </w:t>
      </w:r>
      <w:r>
        <w:rPr>
          <w:rFonts w:ascii="Calibri" w:cs="Calibri" w:eastAsia="Calibri" w:hAnsi="Calibri"/>
          <w:b/>
          <w:bCs/>
          <w:i w:val="false"/>
          <w:iCs w:val="false"/>
          <w:strike w:val="false"/>
          <w:color w:val="000000"/>
          <w:sz w:val="22"/>
          <w:szCs w:val="22"/>
        </w:rPr>
        <w:t xml:space="preserve">8,32 milliards</w:t>
      </w:r>
      <w:r>
        <w:rPr>
          <w:rFonts w:ascii="Calibri" w:cs="Calibri" w:eastAsia="Calibri" w:hAnsi="Calibri"/>
          <w:b w:val="false"/>
          <w:bCs w:val="false"/>
          <w:i w:val="false"/>
          <w:iCs w:val="false"/>
          <w:strike w:val="false"/>
          <w:color w:val="000000"/>
          <w:sz w:val="22"/>
          <w:szCs w:val="22"/>
        </w:rPr>
        <w:t xml:space="preserve"> en 2026, et devrait atteindre </w:t>
      </w:r>
      <w:r>
        <w:rPr>
          <w:rFonts w:ascii="Calibri" w:cs="Calibri" w:eastAsia="Calibri" w:hAnsi="Calibri"/>
          <w:b/>
          <w:bCs/>
          <w:i w:val="false"/>
          <w:iCs w:val="false"/>
          <w:strike w:val="false"/>
          <w:color w:val="000000"/>
          <w:sz w:val="22"/>
          <w:szCs w:val="22"/>
        </w:rPr>
        <w:t xml:space="preserve">39 à 96 milliards de dollars</w:t>
      </w:r>
      <w:r>
        <w:rPr>
          <w:rFonts w:ascii="Calibri" w:cs="Calibri" w:eastAsia="Calibri" w:hAnsi="Calibri"/>
          <w:b w:val="false"/>
          <w:bCs w:val="false"/>
          <w:i w:val="false"/>
          <w:iCs w:val="false"/>
          <w:strike w:val="false"/>
          <w:color w:val="000000"/>
          <w:sz w:val="22"/>
          <w:szCs w:val="22"/>
        </w:rPr>
        <w:t xml:space="preserve"> d’ici 2030-2035, avec un taux de croissance annuel composé de </w:t>
      </w:r>
      <w:r>
        <w:rPr>
          <w:rFonts w:ascii="Calibri" w:cs="Calibri" w:eastAsia="Calibri" w:hAnsi="Calibri"/>
          <w:b/>
          <w:bCs/>
          <w:i w:val="false"/>
          <w:iCs w:val="false"/>
          <w:strike w:val="false"/>
          <w:color w:val="000000"/>
          <w:sz w:val="22"/>
          <w:szCs w:val="22"/>
        </w:rPr>
        <w:t xml:space="preserve">47-53 %</w:t>
      </w:r>
      <w:r>
        <w:rPr>
          <w:rFonts w:ascii="Calibri" w:cs="Calibri" w:eastAsia="Calibri" w:hAnsi="Calibri"/>
          <w:b w:val="false"/>
          <w:bCs w:val="false"/>
          <w:i w:val="false"/>
          <w:iCs w:val="false"/>
          <w:strike w:val="false"/>
          <w:color w:val="000000"/>
          <w:sz w:val="22"/>
          <w:szCs w:val="22"/>
        </w:rPr>
        <w:t xml:space="preserve">. Les acteurs clés incluent Tesla Optimus, Figure AI, Sanctuary AI (canadien), Agility Robotics, 1X Technologies, Unitree et Boston Dynamics. La taxonomie arXiv de Wang &amp; Sun (2025) définit cinq niveaux d’AGI embodied (L1-L5) ; les systèmes actuels se situent aux niveaux L1-L2, le niveau L3+ nécessitant un « cerveau robotique » intégrant modèles de fondation et interaction physique. Le rapport McKinsey sur l’« Organisation agentique » (septembre 2025) décrit le changement de paradigme unissant humains et agents IA — virtuels et physiques — travaillant côte à côte à coût marginal quasi nul.</w:t>
      </w:r>
    </w:p>
    <w:p>
      <w:pPr>
        <w:spacing w:after="120" w:before="60" w:line="360" w:lineRule="auto"/>
      </w:pPr>
      <w:r>
        <w:rPr>
          <w:rFonts w:ascii="Calibri" w:cs="Calibri" w:eastAsia="Calibri" w:hAnsi="Calibri"/>
          <w:b/>
          <w:bCs/>
          <w:i w:val="false"/>
          <w:iCs w:val="false"/>
          <w:strike w:val="false"/>
          <w:color w:val="000000"/>
          <w:sz w:val="22"/>
          <w:szCs w:val="22"/>
        </w:rPr>
        <w:t xml:space="preserve">Constat 4 : Le Québec dispose de 18 à 24 mois pour se positionner avant que les corridors stratégiques ne se ferment.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La fenêtre est définie par trois facteurs convergents : (a) les laboratoires AGI atteignent l’AGI fonctionnelle en 2027-2028, (b) les infrastructures de calcul souverain sont verrouillées d’ici 2027, (c) les chaînes d’approvisionnement en robotique humanoïde s’établissent dès maintenant. Les atouts du Québec sont réels : Mila (laboratoire de recherche IA académique n° 1 mondial), Kinova Robotics, McGill/ÉTS/Polytechnique, Hydro-Québec (énergie propre), base manufacturière Rive-Nord/Mauricie. Les lacunes sont également claires : aucune stratégie de calcul souverain, aucun programme national de robotique humanoïde, aucun cadre de préparation à l’AGI, aucun cluster de recherche en IA embodied.</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1 : État de la situation — Où en est l’AGI ?</w:t>
      </w:r>
    </w:p>
    <w:p>
      <w:pPr>
        <w:pStyle w:val="Heading2"/>
        <w:spacing w:after="120" w:before="360" w:line="312" w:lineRule="auto"/>
      </w:pPr>
      <w:r>
        <w:rPr>
          <w:rFonts w:ascii="Calibri" w:cs="Calibri" w:eastAsia="Calibri" w:hAnsi="Calibri"/>
          <w:color w:val="1A1A1A"/>
          <w:sz w:val="36"/>
          <w:szCs w:val="36"/>
        </w:rPr>
        <w:t xml:space="preserve">1.1  Définition opérationnelle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 rapport distingue deux concepts fondamentaux. L’</w:t>
      </w:r>
      <w:r>
        <w:rPr>
          <w:rFonts w:ascii="Calibri" w:cs="Calibri" w:eastAsia="Calibri" w:hAnsi="Calibri"/>
          <w:b/>
          <w:bCs/>
          <w:i w:val="false"/>
          <w:iCs w:val="false"/>
          <w:strike w:val="false"/>
          <w:color w:val="000000"/>
          <w:sz w:val="22"/>
          <w:szCs w:val="22"/>
        </w:rPr>
        <w:t xml:space="preserve">AGI fonctionnelle</w:t>
      </w:r>
      <w:r>
        <w:rPr>
          <w:rFonts w:ascii="Calibri" w:cs="Calibri" w:eastAsia="Calibri" w:hAnsi="Calibri"/>
          <w:b w:val="false"/>
          <w:bCs w:val="false"/>
          <w:i w:val="false"/>
          <w:iCs w:val="false"/>
          <w:strike w:val="false"/>
          <w:color w:val="000000"/>
          <w:sz w:val="22"/>
          <w:szCs w:val="22"/>
        </w:rPr>
        <w:t xml:space="preserve"> désigne des systèmes d’IA capables d’égaler ou de surpasser la performance humaine sur la quasi-totalité des tâches économiquement valorisables, sans reprogrammation spécifique à chaque tâche. L’</w:t>
      </w:r>
      <w:r>
        <w:rPr>
          <w:rFonts w:ascii="Calibri" w:cs="Calibri" w:eastAsia="Calibri" w:hAnsi="Calibri"/>
          <w:b/>
          <w:bCs/>
          <w:i w:val="false"/>
          <w:iCs w:val="false"/>
          <w:strike w:val="false"/>
          <w:color w:val="000000"/>
          <w:sz w:val="22"/>
          <w:szCs w:val="22"/>
        </w:rPr>
        <w:t xml:space="preserve">AGI théorique complète</w:t>
      </w:r>
      <w:r>
        <w:rPr>
          <w:rFonts w:ascii="Calibri" w:cs="Calibri" w:eastAsia="Calibri" w:hAnsi="Calibri"/>
          <w:b w:val="false"/>
          <w:bCs w:val="false"/>
          <w:i w:val="false"/>
          <w:iCs w:val="false"/>
          <w:strike w:val="false"/>
          <w:color w:val="000000"/>
          <w:sz w:val="22"/>
          <w:szCs w:val="22"/>
        </w:rPr>
        <w:t xml:space="preserve"> désigne une intelligence artificielle disposant de capacités cognitives générales équivalentes ou supérieures à celles de l’humain dans tous les domaines, y compris la conscience de soi et le raisonnement abstrait non contraint.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L’industrie a dépassé les débats définitionnels. L’année 2026 marque le passage d’une phase d’« expansion non contrôlée » à une phase d’« évaluation rigoureuse et d’intégration systémique ». La question n’est plus « l’AGI arrivera-t-elle ? » mais « quand, et sommes-nous prêts ? »</w:t>
      </w:r>
    </w:p>
    <w:p>
      <w:pPr>
        <w:pStyle w:val="Heading2"/>
        <w:spacing w:after="120" w:before="360" w:line="312" w:lineRule="auto"/>
      </w:pPr>
      <w:r>
        <w:rPr>
          <w:rFonts w:ascii="Calibri" w:cs="Calibri" w:eastAsia="Calibri" w:hAnsi="Calibri"/>
          <w:color w:val="1A1A1A"/>
          <w:sz w:val="36"/>
          <w:szCs w:val="36"/>
        </w:rPr>
        <w:t xml:space="preserve">1.2  Les quatre mécanismes d’accélération</w:t>
      </w:r>
    </w:p>
    <w:p>
      <w:pPr>
        <w:spacing w:after="120" w:before="60" w:line="360" w:lineRule="auto"/>
      </w:pPr>
      <w:r>
        <w:rPr>
          <w:rFonts w:ascii="Calibri" w:cs="Calibri" w:eastAsia="Calibri" w:hAnsi="Calibri"/>
          <w:b/>
          <w:bCs/>
          <w:i w:val="false"/>
          <w:iCs w:val="false"/>
          <w:strike w:val="false"/>
          <w:color w:val="000000"/>
          <w:sz w:val="22"/>
          <w:szCs w:val="22"/>
        </w:rPr>
        <w:t xml:space="preserve">1. Amélioration récursive (recursive self-improvement).</w:t>
      </w:r>
      <w:r>
        <w:rPr>
          <w:rFonts w:ascii="Calibri" w:cs="Calibri" w:eastAsia="Calibri" w:hAnsi="Calibri"/>
          <w:b w:val="false"/>
          <w:bCs w:val="false"/>
          <w:i w:val="false"/>
          <w:iCs w:val="false"/>
          <w:strike w:val="false"/>
          <w:color w:val="000000"/>
          <w:sz w:val="22"/>
          <w:szCs w:val="22"/>
        </w:rPr>
        <w:t xml:space="preserve"> Les systèmes d’IA conçoivent désormais de meilleurs cycles d’entraînement, génèrent des données synthétiques et identifient des améliorations architecturales. La productivité des chercheurs humains passée de </w:t>
      </w:r>
      <w:r>
        <w:rPr>
          <w:rFonts w:ascii="Calibri" w:cs="Calibri" w:eastAsia="Calibri" w:hAnsi="Calibri"/>
          <w:b/>
          <w:bCs/>
          <w:i w:val="false"/>
          <w:iCs w:val="false"/>
          <w:strike w:val="false"/>
          <w:color w:val="000000"/>
          <w:sz w:val="22"/>
          <w:szCs w:val="22"/>
        </w:rPr>
        <w:t xml:space="preserve">1x à 4-7x</w:t>
      </w:r>
      <w:r>
        <w:rPr>
          <w:rFonts w:ascii="Calibri" w:cs="Calibri" w:eastAsia="Calibri" w:hAnsi="Calibri"/>
          <w:b w:val="false"/>
          <w:bCs w:val="false"/>
          <w:i w:val="false"/>
          <w:iCs w:val="false"/>
          <w:strike w:val="false"/>
          <w:color w:val="000000"/>
          <w:sz w:val="22"/>
          <w:szCs w:val="22"/>
        </w:rPr>
        <w:t xml:space="preserve"> sur des sous-tâches définies grâce à l’assistance IA. La boucle d’auto-amélioration se referme progressivement.</w:t>
      </w:r>
    </w:p>
    <w:p>
      <w:pPr>
        <w:spacing w:after="120" w:before="60" w:line="360" w:lineRule="auto"/>
      </w:pPr>
      <w:r>
        <w:rPr>
          <w:rFonts w:ascii="Calibri" w:cs="Calibri" w:eastAsia="Calibri" w:hAnsi="Calibri"/>
          <w:b/>
          <w:bCs/>
          <w:i w:val="false"/>
          <w:iCs w:val="false"/>
          <w:strike w:val="false"/>
          <w:color w:val="000000"/>
          <w:sz w:val="22"/>
          <w:szCs w:val="22"/>
        </w:rPr>
        <w:t xml:space="preserve">2. Saturation des benchmarks.</w:t>
      </w:r>
      <w:r>
        <w:rPr>
          <w:rFonts w:ascii="Calibri" w:cs="Calibri" w:eastAsia="Calibri" w:hAnsi="Calibri"/>
          <w:b w:val="false"/>
          <w:bCs w:val="false"/>
          <w:i w:val="false"/>
          <w:iCs w:val="false"/>
          <w:strike w:val="false"/>
          <w:color w:val="000000"/>
          <w:sz w:val="22"/>
          <w:szCs w:val="22"/>
        </w:rPr>
        <w:t xml:space="preserve"> Le benchmark ARC-AGI est passé de </w:t>
      </w:r>
      <w:r>
        <w:rPr>
          <w:rFonts w:ascii="Calibri" w:cs="Calibri" w:eastAsia="Calibri" w:hAnsi="Calibri"/>
          <w:b/>
          <w:bCs/>
          <w:i w:val="false"/>
          <w:iCs w:val="false"/>
          <w:strike w:val="false"/>
          <w:color w:val="000000"/>
          <w:sz w:val="22"/>
          <w:szCs w:val="22"/>
        </w:rPr>
        <w:t xml:space="preserve">0 %</w:t>
      </w:r>
      <w:r>
        <w:rPr>
          <w:rFonts w:ascii="Calibri" w:cs="Calibri" w:eastAsia="Calibri" w:hAnsi="Calibri"/>
          <w:b w:val="false"/>
          <w:bCs w:val="false"/>
          <w:i w:val="false"/>
          <w:iCs w:val="false"/>
          <w:strike w:val="false"/>
          <w:color w:val="000000"/>
          <w:sz w:val="22"/>
          <w:szCs w:val="22"/>
        </w:rPr>
        <w:t xml:space="preserve"> (2023) à </w:t>
      </w:r>
      <w:r>
        <w:rPr>
          <w:rFonts w:ascii="Calibri" w:cs="Calibri" w:eastAsia="Calibri" w:hAnsi="Calibri"/>
          <w:b/>
          <w:bCs/>
          <w:i w:val="false"/>
          <w:iCs w:val="false"/>
          <w:strike w:val="false"/>
          <w:color w:val="000000"/>
          <w:sz w:val="22"/>
          <w:szCs w:val="22"/>
        </w:rPr>
        <w:t xml:space="preserve">85,3 %</w:t>
      </w:r>
      <w:r>
        <w:rPr>
          <w:rFonts w:ascii="Calibri" w:cs="Calibri" w:eastAsia="Calibri" w:hAnsi="Calibri"/>
          <w:b w:val="false"/>
          <w:bCs w:val="false"/>
          <w:i w:val="false"/>
          <w:iCs w:val="false"/>
          <w:strike w:val="false"/>
          <w:color w:val="000000"/>
          <w:sz w:val="22"/>
          <w:szCs w:val="22"/>
        </w:rPr>
        <w:t xml:space="preserve"> (décembre 2024). Les benchmarks traditionnels sont franchis plus rapidement que prévu. De nouveaux benchmarks plus exigeants (ARC-AGI-2, HLE, SimpleBench) sont déjà sous pression.</w:t>
      </w:r>
    </w:p>
    <w:p>
      <w:pPr>
        <w:spacing w:after="120" w:before="60" w:line="360" w:lineRule="auto"/>
      </w:pPr>
      <w:r>
        <w:rPr>
          <w:rFonts w:ascii="Calibri" w:cs="Calibri" w:eastAsia="Calibri" w:hAnsi="Calibri"/>
          <w:b/>
          <w:bCs/>
          <w:i w:val="false"/>
          <w:iCs w:val="false"/>
          <w:strike w:val="false"/>
          <w:color w:val="000000"/>
          <w:sz w:val="22"/>
          <w:szCs w:val="22"/>
        </w:rPr>
        <w:t xml:space="preserve">3. Intégration multimodale.</w:t>
      </w:r>
      <w:r>
        <w:rPr>
          <w:rFonts w:ascii="Calibri" w:cs="Calibri" w:eastAsia="Calibri" w:hAnsi="Calibri"/>
          <w:b w:val="false"/>
          <w:bCs w:val="false"/>
          <w:i w:val="false"/>
          <w:iCs w:val="false"/>
          <w:strike w:val="false"/>
          <w:color w:val="000000"/>
          <w:sz w:val="22"/>
          <w:szCs w:val="22"/>
        </w:rPr>
        <w:t xml:space="preserve"> GPT-5.1 intègre vision, audio et texte. Claude Opus 4.5 embarque une théorie de l’esprit. Gemini 3.1 traite des flux satellitaires. Les systèmes deviennent véritablement généralistes.</w:t>
      </w:r>
    </w:p>
    <w:p>
      <w:pPr>
        <w:spacing w:after="120" w:before="60" w:line="360" w:lineRule="auto"/>
      </w:pPr>
      <w:r>
        <w:rPr>
          <w:rFonts w:ascii="Calibri" w:cs="Calibri" w:eastAsia="Calibri" w:hAnsi="Calibri"/>
          <w:b/>
          <w:bCs/>
          <w:i w:val="false"/>
          <w:iCs w:val="false"/>
          <w:strike w:val="false"/>
          <w:color w:val="000000"/>
          <w:sz w:val="22"/>
          <w:szCs w:val="22"/>
        </w:rPr>
        <w:t xml:space="preserve">4. Mise à l’échelle du calcul.</w:t>
      </w:r>
      <w:r>
        <w:rPr>
          <w:rFonts w:ascii="Calibri" w:cs="Calibri" w:eastAsia="Calibri" w:hAnsi="Calibri"/>
          <w:b w:val="false"/>
          <w:bCs w:val="false"/>
          <w:i w:val="false"/>
          <w:iCs w:val="false"/>
          <w:strike w:val="false"/>
          <w:color w:val="000000"/>
          <w:sz w:val="22"/>
          <w:szCs w:val="22"/>
        </w:rPr>
        <w:t xml:space="preserve"> L’indice mondial de calcul atteint </w:t>
      </w:r>
      <w:r>
        <w:rPr>
          <w:rFonts w:ascii="Calibri" w:cs="Calibri" w:eastAsia="Calibri" w:hAnsi="Calibri"/>
          <w:b/>
          <w:bCs/>
          <w:i w:val="false"/>
          <w:iCs w:val="false"/>
          <w:strike w:val="false"/>
          <w:color w:val="000000"/>
          <w:sz w:val="22"/>
          <w:szCs w:val="22"/>
        </w:rPr>
        <w:t xml:space="preserve">1,714 EFLOPs</w:t>
      </w:r>
      <w:r>
        <w:rPr>
          <w:rFonts w:ascii="Calibri" w:cs="Calibri" w:eastAsia="Calibri" w:hAnsi="Calibri"/>
          <w:b w:val="false"/>
          <w:bCs w:val="false"/>
          <w:i w:val="false"/>
          <w:iCs w:val="false"/>
          <w:strike w:val="false"/>
          <w:color w:val="000000"/>
          <w:sz w:val="22"/>
          <w:szCs w:val="22"/>
        </w:rPr>
        <w:t xml:space="preserve">. La consommation énergétique de l’IA représente </w:t>
      </w:r>
      <w:r>
        <w:rPr>
          <w:rFonts w:ascii="Calibri" w:cs="Calibri" w:eastAsia="Calibri" w:hAnsi="Calibri"/>
          <w:b/>
          <w:bCs/>
          <w:i w:val="false"/>
          <w:iCs w:val="false"/>
          <w:strike w:val="false"/>
          <w:color w:val="000000"/>
          <w:sz w:val="22"/>
          <w:szCs w:val="22"/>
        </w:rPr>
        <w:t xml:space="preserve">98,3 TWh/an</w:t>
      </w:r>
      <w:r>
        <w:rPr>
          <w:rFonts w:ascii="Calibri" w:cs="Calibri" w:eastAsia="Calibri" w:hAnsi="Calibri"/>
          <w:b w:val="false"/>
          <w:bCs w:val="false"/>
          <w:i w:val="false"/>
          <w:iCs w:val="false"/>
          <w:strike w:val="false"/>
          <w:color w:val="000000"/>
          <w:sz w:val="22"/>
          <w:szCs w:val="22"/>
        </w:rPr>
        <w:t xml:space="preserve">. La flotte mondiale de GPU compte </w:t>
      </w:r>
      <w:r>
        <w:rPr>
          <w:rFonts w:ascii="Calibri" w:cs="Calibri" w:eastAsia="Calibri" w:hAnsi="Calibri"/>
          <w:b/>
          <w:bCs/>
          <w:i w:val="false"/>
          <w:iCs w:val="false"/>
          <w:strike w:val="false"/>
          <w:color w:val="000000"/>
          <w:sz w:val="22"/>
          <w:szCs w:val="22"/>
        </w:rPr>
        <w:t xml:space="preserve">4,2 millions d’unités</w:t>
      </w:r>
      <w:r>
        <w:rPr>
          <w:rFonts w:ascii="Calibri" w:cs="Calibri" w:eastAsia="Calibri" w:hAnsi="Calibri"/>
          <w:b w:val="false"/>
          <w:bCs w:val="false"/>
          <w:i w:val="false"/>
          <w:iCs w:val="false"/>
          <w:strike w:val="false"/>
          <w:color w:val="000000"/>
          <w:sz w:val="22"/>
          <w:szCs w:val="22"/>
        </w:rPr>
        <w:t xml:space="preserve">. Les cycles d’entraînement passent de mois à semaines.</w:t>
      </w:r>
    </w:p>
    <w:p>
      <w:pPr>
        <w:spacing w:after="60" w:before="360" w:line="360" w:lineRule="auto"/>
      </w:pPr>
      <w:r>
        <w:rPr>
          <w:rFonts w:ascii="Calibri" w:cs="Calibri" w:eastAsia="Calibri" w:hAnsi="Calibri"/>
          <w:b/>
          <w:bCs/>
          <w:i w:val="false"/>
          <w:iCs w:val="false"/>
          <w:strike w:val="false"/>
          <w:color w:val="2B5797"/>
          <w:sz w:val="20"/>
          <w:szCs w:val="20"/>
        </w:rPr>
        <w:t xml:space="preserve">Exhibit 1 — Positions des principaux laboratoires AGI (avril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Laboratoire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Modèle frontier (avril 2026)</w:t>
            </w:r>
          </w:p>
        </w:tc>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Score ARC-AGI</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Timeline AGI déclarée</w:t>
            </w:r>
          </w:p>
        </w:tc>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Confiance</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Stratégie dominante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OpenAI</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GPT-5.4 / o3</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3 % (o3, mars 2026)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2025-2027</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85 %</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Maîtrise multimodale + commercialisation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Anthropic</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Claude Opus 4.5</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8,6 %</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2026-2027</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80 %</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Sécurité d’abord, Constitutional AI</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Google DeepMind</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Gemini 3.1 Ultra</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37,5 % (HLE)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2030-2033</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75 %</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Profondeur de recherche + infra souveraine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xAI</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Grok 4</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15,9 % (ARC-AGI-2)</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2026-2028</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10 % (selon Musk)</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Données temps réel + chaîne de pensée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Meta</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Llama 4 Scout</w:t>
            </w:r>
          </w:p>
        </w:tc>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N/D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Non déclaré</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N/D</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Open-source, contexte 10M tokens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1.3  AGI fonctionnelle vs AGI complète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L’AGI fonctionnelle perturbe déjà les marchés du travail par l’intermédiaire d’agents autonomes capables d’exécuter des tâches complexes de bout en bout. L’AGI théorique complète demeure un sujet de débat académique, mais l’impact économique et social de l’AGI fonctionnelle est déjà réel et s’accélère. Le Stanford Enterprise AI Playbook (avril 2026) conclut, à partir de 51 études de cas en entreprise, que le facteur différenciateur n’est jamais le modèle d’IA — c’est toujours l’organisation.</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2 : La course à la souveraineté computationnelle</w:t>
      </w:r>
    </w:p>
    <w:p>
      <w:pPr>
        <w:pStyle w:val="Heading2"/>
        <w:spacing w:after="120" w:before="360" w:line="312" w:lineRule="auto"/>
      </w:pPr>
      <w:r>
        <w:rPr>
          <w:rFonts w:ascii="Calibri" w:cs="Calibri" w:eastAsia="Calibri" w:hAnsi="Calibri"/>
          <w:color w:val="1A1A1A"/>
          <w:sz w:val="36"/>
          <w:szCs w:val="36"/>
        </w:rPr>
        <w:t xml:space="preserve">2.1  Le nouveau paradigme : infrastructure souveraine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La souveraineté en IA repose sur trois piliers indissociables : </w:t>
      </w:r>
      <w:r>
        <w:rPr>
          <w:rFonts w:ascii="Calibri" w:cs="Calibri" w:eastAsia="Calibri" w:hAnsi="Calibri"/>
          <w:b/>
          <w:bCs/>
          <w:i w:val="false"/>
          <w:iCs w:val="false"/>
          <w:strike w:val="false"/>
          <w:color w:val="000000"/>
          <w:sz w:val="22"/>
          <w:szCs w:val="22"/>
        </w:rPr>
        <w:t xml:space="preserve">calcul souverain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modèles souverains</w:t>
      </w:r>
      <w:r>
        <w:rPr>
          <w:rFonts w:ascii="Calibri" w:cs="Calibri" w:eastAsia="Calibri" w:hAnsi="Calibri"/>
          <w:b w:val="false"/>
          <w:bCs w:val="false"/>
          <w:i w:val="false"/>
          <w:iCs w:val="false"/>
          <w:strike w:val="false"/>
          <w:color w:val="000000"/>
          <w:sz w:val="22"/>
          <w:szCs w:val="22"/>
        </w:rPr>
        <w:t xml:space="preserve"> et </w:t>
      </w:r>
      <w:r>
        <w:rPr>
          <w:rFonts w:ascii="Calibri" w:cs="Calibri" w:eastAsia="Calibri" w:hAnsi="Calibri"/>
          <w:b/>
          <w:bCs/>
          <w:i w:val="false"/>
          <w:iCs w:val="false"/>
          <w:strike w:val="false"/>
          <w:color w:val="000000"/>
          <w:sz w:val="22"/>
          <w:szCs w:val="22"/>
        </w:rPr>
        <w:t xml:space="preserve">réglementation souveraine</w:t>
      </w:r>
      <w:r>
        <w:rPr>
          <w:rFonts w:ascii="Calibri" w:cs="Calibri" w:eastAsia="Calibri" w:hAnsi="Calibri"/>
          <w:b w:val="false"/>
          <w:bCs w:val="false"/>
          <w:i w:val="false"/>
          <w:iCs w:val="false"/>
          <w:strike w:val="false"/>
          <w:color w:val="000000"/>
          <w:sz w:val="22"/>
          <w:szCs w:val="22"/>
        </w:rPr>
        <w:t xml:space="preserve">. Il ne s’agit pas de protectionnisme, mais de souveraineté infrastructurelle — le même principe qui gouverne les réseaux électriques, les télécommunications et l’infrastructure financière. Les programmes sont conçus sur des cycles de 18 à 36 mois, en rupture avec les cycles décennaux de l’infrastructure traditionnelle.</w:t>
      </w:r>
    </w:p>
    <w:p>
      <w:pPr>
        <w:spacing w:after="60" w:before="360" w:line="360" w:lineRule="auto"/>
      </w:pPr>
      <w:r>
        <w:rPr>
          <w:rFonts w:ascii="Calibri" w:cs="Calibri" w:eastAsia="Calibri" w:hAnsi="Calibri"/>
          <w:b/>
          <w:bCs/>
          <w:i w:val="false"/>
          <w:iCs w:val="false"/>
          <w:strike w:val="false"/>
          <w:color w:val="2B5797"/>
          <w:sz w:val="20"/>
          <w:szCs w:val="20"/>
        </w:rPr>
        <w:t xml:space="preserve">Exhibit 2 — Investissements souverains en IA par pays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Pays</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Investissement IA souverain</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Programme phare</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Compute souverain</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Modèle souverain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États-Unis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&gt;300 G$ (privé)</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Stargate (OpenAI/SoftBank)</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Hyperscalers dominants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GPT, Claude, Gemini, Llama</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Chine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&gt;200 G$ (public+privé)</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Plan national IA 2030</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Ascend (Huawei), SMIC</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DeepSeek-V3 (671B MoE)</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Émirats arabes unis</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100 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HUMAIN, G42-Microsoft</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Centres souverains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Falcon 2 (TII, 180B)</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Arabie saoudite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100 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Project Transcendence, NEOM</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Clusters GPU souverains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En développement</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France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30-50 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Campus IA France-EAU</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Scaleway, OVHcloud</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Mistral Large 2 (123B)</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Japon</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13 G$ (¥2T)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Plan IA national</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Compute souverain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PLaMo (Preferred Networks, 100B)</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Inde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1,24 G$</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IndiaAI Mission</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Cluster 10 000 GPU</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BharatGPT (CoRover)</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Canada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443,8 M$ CAD</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Stratégie pancanadienne IA</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Alliance de recherche numérique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Aucun modèle souverain</w:t>
            </w:r>
          </w:p>
        </w:tc>
      </w:tr>
      <w:tr>
        <w:trPr>
          <w:tblHeader w:val="false"/>
        </w:trPr>
        <w:tc>
          <w:tcPr>
            <w:tcW w:type="pct" w:w="1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Québec</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Non chiffré séparément</w:t>
            </w:r>
          </w:p>
        </w:tc>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Mila, Scale AI</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Dépendant du fédéral</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Aucun</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2.2  Le déficit structurel canadien et québécois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 Canada a investi </w:t>
      </w:r>
      <w:r>
        <w:rPr>
          <w:rFonts w:ascii="Calibri" w:cs="Calibri" w:eastAsia="Calibri" w:hAnsi="Calibri"/>
          <w:b/>
          <w:bCs/>
          <w:i w:val="false"/>
          <w:iCs w:val="false"/>
          <w:strike w:val="false"/>
          <w:color w:val="000000"/>
          <w:sz w:val="22"/>
          <w:szCs w:val="22"/>
        </w:rPr>
        <w:t xml:space="preserve">443,8 millions de dollars canadiens</w:t>
      </w:r>
      <w:r>
        <w:rPr>
          <w:rFonts w:ascii="Calibri" w:cs="Calibri" w:eastAsia="Calibri" w:hAnsi="Calibri"/>
          <w:b w:val="false"/>
          <w:bCs w:val="false"/>
          <w:i w:val="false"/>
          <w:iCs w:val="false"/>
          <w:strike w:val="false"/>
          <w:color w:val="000000"/>
          <w:sz w:val="22"/>
          <w:szCs w:val="22"/>
        </w:rPr>
        <w:t xml:space="preserve"> via la Stratégie pancanadienne en IA (CIFAR, Mila, Amii, Vector Institute) — soit </w:t>
      </w:r>
      <w:r>
        <w:rPr>
          <w:rFonts w:ascii="Calibri" w:cs="Calibri" w:eastAsia="Calibri" w:hAnsi="Calibri"/>
          <w:b/>
          <w:bCs/>
          <w:i w:val="false"/>
          <w:iCs w:val="false"/>
          <w:strike w:val="false"/>
          <w:color w:val="000000"/>
          <w:sz w:val="22"/>
          <w:szCs w:val="22"/>
        </w:rPr>
        <w:t xml:space="preserve">100 fois moins</w:t>
      </w:r>
      <w:r>
        <w:rPr>
          <w:rFonts w:ascii="Calibri" w:cs="Calibri" w:eastAsia="Calibri" w:hAnsi="Calibri"/>
          <w:b w:val="false"/>
          <w:bCs w:val="false"/>
          <w:i w:val="false"/>
          <w:iCs w:val="false"/>
          <w:strike w:val="false"/>
          <w:color w:val="000000"/>
          <w:sz w:val="22"/>
          <w:szCs w:val="22"/>
        </w:rPr>
        <w:t xml:space="preserve"> que les Émirats arabes unis, l’Arabie saoudite ou la France. Le déficit est structurel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Aucun calcul souverain :</w:t>
      </w:r>
      <w:r>
        <w:rPr>
          <w:rFonts w:ascii="Calibri" w:cs="Calibri" w:eastAsia="Calibri" w:hAnsi="Calibri"/>
          <w:b w:val="false"/>
          <w:bCs w:val="false"/>
          <w:i w:val="false"/>
          <w:iCs w:val="false"/>
          <w:strike w:val="false"/>
          <w:color w:val="000000"/>
          <w:sz w:val="22"/>
          <w:szCs w:val="22"/>
        </w:rPr>
        <w:t xml:space="preserve"> tout l’entraînement IA se fait sur les hyperscalers américains (Azure, GCP, AWS).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Aucun modèle de fondation souverain :</w:t>
      </w:r>
      <w:r>
        <w:rPr>
          <w:rFonts w:ascii="Calibri" w:cs="Calibri" w:eastAsia="Calibri" w:hAnsi="Calibri"/>
          <w:b w:val="false"/>
          <w:bCs w:val="false"/>
          <w:i w:val="false"/>
          <w:iCs w:val="false"/>
          <w:strike w:val="false"/>
          <w:color w:val="000000"/>
          <w:sz w:val="22"/>
          <w:szCs w:val="22"/>
        </w:rPr>
        <w:t xml:space="preserve"> le Canada ne dispose d’aucun modèle national, alors que la France (Mistral), les ÉAU (Falcon), la Chine (DeepSeek) et le Japon (PLaMo) en possèdent tous un.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Mila demeure de calibre mondial</w:t>
      </w:r>
      <w:r>
        <w:rPr>
          <w:rFonts w:ascii="Calibri" w:cs="Calibri" w:eastAsia="Calibri" w:hAnsi="Calibri"/>
          <w:b w:val="false"/>
          <w:bCs w:val="false"/>
          <w:i w:val="false"/>
          <w:iCs w:val="false"/>
          <w:strike w:val="false"/>
          <w:color w:val="000000"/>
          <w:sz w:val="22"/>
          <w:szCs w:val="22"/>
        </w:rPr>
        <w:t xml:space="preserve"> en recherche, mais ne dispose d’aucun mandat de calcul industriel.</w:t>
      </w:r>
    </w:p>
    <w:p>
      <w:pPr>
        <w:pStyle w:val="Heading2"/>
        <w:spacing w:after="120" w:before="360" w:line="312" w:lineRule="auto"/>
      </w:pPr>
      <w:r>
        <w:rPr>
          <w:rFonts w:ascii="Calibri" w:cs="Calibri" w:eastAsia="Calibri" w:hAnsi="Calibri"/>
          <w:color w:val="1A1A1A"/>
          <w:sz w:val="36"/>
          <w:szCs w:val="36"/>
        </w:rPr>
        <w:t xml:space="preserve">2.3  Implications pour le cabinet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Résidence des données :</w:t>
      </w:r>
      <w:r>
        <w:rPr>
          <w:rFonts w:ascii="Calibri" w:cs="Calibri" w:eastAsia="Calibri" w:hAnsi="Calibri"/>
          <w:b w:val="false"/>
          <w:bCs w:val="false"/>
          <w:i w:val="false"/>
          <w:iCs w:val="false"/>
          <w:strike w:val="false"/>
          <w:color w:val="000000"/>
          <w:sz w:val="22"/>
          <w:szCs w:val="22"/>
        </w:rPr>
        <w:t xml:space="preserve"> l’entraînement de modèles sur des données citoyennes pourrait nécessiter une infrastructure de calcul en sol national, sous l’effet des réglementations évolutives.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Risque géopolitique :</w:t>
      </w:r>
      <w:r>
        <w:rPr>
          <w:rFonts w:ascii="Calibri" w:cs="Calibri" w:eastAsia="Calibri" w:hAnsi="Calibri"/>
          <w:b w:val="false"/>
          <w:bCs w:val="false"/>
          <w:i w:val="false"/>
          <w:iCs w:val="false"/>
          <w:strike w:val="false"/>
          <w:color w:val="000000"/>
          <w:sz w:val="22"/>
          <w:szCs w:val="22"/>
        </w:rPr>
        <w:t xml:space="preserve"> des contrôles à l’exportation ou des sanctions américaines pourraient couper l’accès au calcul.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Capture économique :</w:t>
      </w:r>
      <w:r>
        <w:rPr>
          <w:rFonts w:ascii="Calibri" w:cs="Calibri" w:eastAsia="Calibri" w:hAnsi="Calibri"/>
          <w:b w:val="false"/>
          <w:bCs w:val="false"/>
          <w:i w:val="false"/>
          <w:iCs w:val="false"/>
          <w:strike w:val="false"/>
          <w:color w:val="000000"/>
          <w:sz w:val="22"/>
          <w:szCs w:val="22"/>
        </w:rPr>
        <w:t xml:space="preserve"> sans infrastructure souveraine, la création de valeur s’écoule vers les États-Unis et la Chine.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3 : Ce qui vient après — Les cinq vagues post-AGI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 cadre analytique ci-dessous identifie cinq vagues successives et cumulatives qui structureront la période post-AGI. Chaque vague est évaluée selon son horizon temporel, son impact économique et la position actuelle du Québec.</w:t>
      </w:r>
    </w:p>
    <w:p>
      <w:pPr>
        <w:spacing w:after="60" w:before="360" w:line="360" w:lineRule="auto"/>
      </w:pPr>
      <w:r>
        <w:rPr>
          <w:rFonts w:ascii="Calibri" w:cs="Calibri" w:eastAsia="Calibri" w:hAnsi="Calibri"/>
          <w:b/>
          <w:bCs/>
          <w:i w:val="false"/>
          <w:iCs w:val="false"/>
          <w:strike w:val="false"/>
          <w:color w:val="2B5797"/>
          <w:sz w:val="20"/>
          <w:szCs w:val="20"/>
        </w:rPr>
        <w:t xml:space="preserve">Exhibit 3 — Les Cinq Vagues Post-AGI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Vague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Horizon</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Description</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Impact économique</w:t>
            </w:r>
          </w:p>
        </w:tc>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Position du Québec</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2026-2027</w:t>
            </w:r>
          </w:p>
        </w:tc>
        <w:tc>
          <w:tcPr>
            <w:tcW w:type="pct" w:w="4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Agents autonomes virtuels.</w:t>
            </w:r>
            <w:r>
              <w:rPr>
                <w:rFonts w:ascii="Calibri" w:cs="Calibri" w:eastAsia="Calibri" w:hAnsi="Calibri"/>
                <w:b w:val="false"/>
                <w:bCs w:val="false"/>
                <w:i w:val="false"/>
                <w:iCs w:val="false"/>
                <w:strike w:val="false"/>
                <w:color w:val="000000"/>
                <w:sz w:val="18"/>
                <w:szCs w:val="18"/>
              </w:rPr>
              <w:t xml:space="preserve"> Agents IA exécutant des travaux de connaissance complexes de bout en bout. Compétences auto-améliorantes, mémoire persistante, orchestration multi-agents.</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40 %</w:t>
            </w:r>
            <w:r>
              <w:rPr>
                <w:rFonts w:ascii="Calibri" w:cs="Calibri" w:eastAsia="Calibri" w:hAnsi="Calibri"/>
                <w:b w:val="false"/>
                <w:bCs w:val="false"/>
                <w:i w:val="false"/>
                <w:iCs w:val="false"/>
                <w:strike w:val="false"/>
                <w:color w:val="000000"/>
                <w:sz w:val="18"/>
                <w:szCs w:val="18"/>
              </w:rPr>
              <w:t xml:space="preserve"> des emplois exposés (FMI). Productivité </w:t>
            </w:r>
            <w:r>
              <w:rPr>
                <w:rFonts w:ascii="Calibri" w:cs="Calibri" w:eastAsia="Calibri" w:hAnsi="Calibri"/>
                <w:b/>
                <w:bCs/>
                <w:i w:val="false"/>
                <w:iCs w:val="false"/>
                <w:strike w:val="false"/>
                <w:color w:val="000000"/>
                <w:sz w:val="22"/>
                <w:szCs w:val="22"/>
              </w:rPr>
              <w:t xml:space="preserve">x4-7</w:t>
            </w:r>
            <w:r>
              <w:rPr>
                <w:rFonts w:ascii="Calibri" w:cs="Calibri" w:eastAsia="Calibri" w:hAnsi="Calibri"/>
                <w:b w:val="false"/>
                <w:bCs w:val="false"/>
                <w:i w:val="false"/>
                <w:iCs w:val="false"/>
                <w:strike w:val="false"/>
                <w:color w:val="000000"/>
                <w:sz w:val="18"/>
                <w:szCs w:val="18"/>
              </w:rPr>
              <w:t xml:space="preserve"> sur tâches définies.</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Avancé</w:t>
            </w:r>
            <w:r>
              <w:rPr>
                <w:rFonts w:ascii="Calibri" w:cs="Calibri" w:eastAsia="Calibri" w:hAnsi="Calibri"/>
                <w:b w:val="false"/>
                <w:bCs w:val="false"/>
                <w:i w:val="false"/>
                <w:iCs w:val="false"/>
                <w:strike w:val="false"/>
                <w:color w:val="000000"/>
                <w:sz w:val="18"/>
                <w:szCs w:val="18"/>
              </w:rPr>
              <w:t xml:space="preserve"> (Mila, écosystème IA mature). Risque : absence de souveraineté computationnelle.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2026-2028</w:t>
            </w:r>
          </w:p>
        </w:tc>
        <w:tc>
          <w:tcPr>
            <w:tcW w:type="pct" w:w="4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IA souveraine et infrastructure.</w:t>
            </w:r>
            <w:r>
              <w:rPr>
                <w:rFonts w:ascii="Calibri" w:cs="Calibri" w:eastAsia="Calibri" w:hAnsi="Calibri"/>
                <w:b w:val="false"/>
                <w:bCs w:val="false"/>
                <w:i w:val="false"/>
                <w:iCs w:val="false"/>
                <w:strike w:val="false"/>
                <w:color w:val="000000"/>
                <w:sz w:val="18"/>
                <w:szCs w:val="18"/>
              </w:rPr>
              <w:t xml:space="preserve"> Nations construisant calcul souverain, modèles et réglementation. Plus de </w:t>
            </w:r>
            <w:r>
              <w:rPr>
                <w:rFonts w:ascii="Calibri" w:cs="Calibri" w:eastAsia="Calibri" w:hAnsi="Calibri"/>
                <w:b/>
                <w:bCs/>
                <w:i w:val="false"/>
                <w:iCs w:val="false"/>
                <w:strike w:val="false"/>
                <w:color w:val="000000"/>
                <w:sz w:val="22"/>
                <w:szCs w:val="22"/>
              </w:rPr>
              <w:t xml:space="preserve">80 G$</w:t>
            </w:r>
            <w:r>
              <w:rPr>
                <w:rFonts w:ascii="Calibri" w:cs="Calibri" w:eastAsia="Calibri" w:hAnsi="Calibri"/>
                <w:b w:val="false"/>
                <w:bCs w:val="false"/>
                <w:i w:val="false"/>
                <w:iCs w:val="false"/>
                <w:strike w:val="false"/>
                <w:color w:val="000000"/>
                <w:sz w:val="18"/>
                <w:szCs w:val="18"/>
              </w:rPr>
              <w:t xml:space="preserve"> d’investissement mondial. Cycles de déploiement de 18-36 mois.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Restructuration géopolitique. Dépendance ou souveraineté.</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Critique :</w:t>
            </w:r>
            <w:r>
              <w:rPr>
                <w:rFonts w:ascii="Calibri" w:cs="Calibri" w:eastAsia="Calibri" w:hAnsi="Calibri"/>
                <w:b w:val="false"/>
                <w:bCs w:val="false"/>
                <w:i w:val="false"/>
                <w:iCs w:val="false"/>
                <w:strike w:val="false"/>
                <w:color w:val="000000"/>
                <w:sz w:val="18"/>
                <w:szCs w:val="18"/>
              </w:rPr>
              <w:t xml:space="preserve"> aucune stratégie souveraine. Dépendance totale aux hyperscalers américains.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2027-2030</w:t>
            </w:r>
          </w:p>
        </w:tc>
        <w:tc>
          <w:tcPr>
            <w:tcW w:type="pct" w:w="4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IA embodied et robotique humanoïde.</w:t>
            </w:r>
            <w:r>
              <w:rPr>
                <w:rFonts w:ascii="Calibri" w:cs="Calibri" w:eastAsia="Calibri" w:hAnsi="Calibri"/>
                <w:b w:val="false"/>
                <w:bCs w:val="false"/>
                <w:i w:val="false"/>
                <w:iCs w:val="false"/>
                <w:strike w:val="false"/>
                <w:color w:val="000000"/>
                <w:sz w:val="18"/>
                <w:szCs w:val="18"/>
              </w:rPr>
              <w:t xml:space="preserve"> IA habitant des corps physiques. Robots humanoïdes pour la fabrication, la logistique, les soins, la défense. Marché de </w:t>
            </w:r>
            <w:r>
              <w:rPr>
                <w:rFonts w:ascii="Calibri" w:cs="Calibri" w:eastAsia="Calibri" w:hAnsi="Calibri"/>
                <w:b/>
                <w:bCs/>
                <w:i w:val="false"/>
                <w:iCs w:val="false"/>
                <w:strike w:val="false"/>
                <w:color w:val="000000"/>
                <w:sz w:val="22"/>
                <w:szCs w:val="22"/>
              </w:rPr>
              <w:t xml:space="preserve">39-96 G$</w:t>
            </w:r>
            <w:r>
              <w:rPr>
                <w:rFonts w:ascii="Calibri" w:cs="Calibri" w:eastAsia="Calibri" w:hAnsi="Calibri"/>
                <w:b w:val="false"/>
                <w:bCs w:val="false"/>
                <w:i w:val="false"/>
                <w:iCs w:val="false"/>
                <w:strike w:val="false"/>
                <w:color w:val="000000"/>
                <w:sz w:val="18"/>
                <w:szCs w:val="18"/>
              </w:rPr>
              <w:t xml:space="preserve"> d’ici 2030-2035.</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Création de chaînes de valeur industrielles complètes. </w:t>
            </w:r>
            <w:r>
              <w:rPr>
                <w:rFonts w:ascii="Calibri" w:cs="Calibri" w:eastAsia="Calibri" w:hAnsi="Calibri"/>
                <w:b/>
                <w:bCs/>
                <w:i w:val="false"/>
                <w:iCs w:val="false"/>
                <w:strike w:val="false"/>
                <w:color w:val="000000"/>
                <w:sz w:val="22"/>
                <w:szCs w:val="22"/>
              </w:rPr>
              <w:t xml:space="preserve">2 500-10 000</w:t>
            </w:r>
            <w:r>
              <w:rPr>
                <w:rFonts w:ascii="Calibri" w:cs="Calibri" w:eastAsia="Calibri" w:hAnsi="Calibri"/>
                <w:b w:val="false"/>
                <w:bCs w:val="false"/>
                <w:i w:val="false"/>
                <w:iCs w:val="false"/>
                <w:strike w:val="false"/>
                <w:color w:val="000000"/>
                <w:sz w:val="18"/>
                <w:szCs w:val="18"/>
              </w:rPr>
              <w:t xml:space="preserve"> emplois directs.</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Atout :</w:t>
            </w:r>
            <w:r>
              <w:rPr>
                <w:rFonts w:ascii="Calibri" w:cs="Calibri" w:eastAsia="Calibri" w:hAnsi="Calibri"/>
                <w:b w:val="false"/>
                <w:bCs w:val="false"/>
                <w:i w:val="false"/>
                <w:iCs w:val="false"/>
                <w:strike w:val="false"/>
                <w:color w:val="000000"/>
                <w:sz w:val="18"/>
                <w:szCs w:val="18"/>
              </w:rPr>
              <w:t xml:space="preserve"> Kinova, base manufacturière, énergie propre. </w:t>
            </w:r>
            <w:r>
              <w:rPr>
                <w:rFonts w:ascii="Calibri" w:cs="Calibri" w:eastAsia="Calibri" w:hAnsi="Calibri"/>
                <w:b/>
                <w:bCs/>
                <w:i w:val="false"/>
                <w:iCs w:val="false"/>
                <w:strike w:val="false"/>
                <w:color w:val="000000"/>
                <w:sz w:val="22"/>
                <w:szCs w:val="22"/>
              </w:rPr>
              <w:t xml:space="preserve">Gap :</w:t>
            </w:r>
            <w:r>
              <w:rPr>
                <w:rFonts w:ascii="Calibri" w:cs="Calibri" w:eastAsia="Calibri" w:hAnsi="Calibri"/>
                <w:b w:val="false"/>
                <w:bCs w:val="false"/>
                <w:i w:val="false"/>
                <w:iCs w:val="false"/>
                <w:strike w:val="false"/>
                <w:color w:val="000000"/>
                <w:sz w:val="18"/>
                <w:szCs w:val="18"/>
              </w:rPr>
              <w:t xml:space="preserve"> absence de programme national.</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2028-2032</w:t>
            </w:r>
          </w:p>
        </w:tc>
        <w:tc>
          <w:tcPr>
            <w:tcW w:type="pct" w:w="4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Organisation agentique.</w:t>
            </w:r>
            <w:r>
              <w:rPr>
                <w:rFonts w:ascii="Calibri" w:cs="Calibri" w:eastAsia="Calibri" w:hAnsi="Calibri"/>
                <w:b w:val="false"/>
                <w:bCs w:val="false"/>
                <w:i w:val="false"/>
                <w:iCs w:val="false"/>
                <w:strike w:val="false"/>
                <w:color w:val="000000"/>
                <w:sz w:val="18"/>
                <w:szCs w:val="18"/>
              </w:rPr>
              <w:t xml:space="preserve"> Entreprises restructurées autour de la collaboration humain-agent IA. Coût marginal quasi nul. Agents virtuels + physiques. McKinsey : « plus grand changement de paradigme depuis la révolution industrielle ».</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Redéfinition complète des modèles opérationnels. PME et grandes entreprises.</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Opportunité :</w:t>
            </w:r>
            <w:r>
              <w:rPr>
                <w:rFonts w:ascii="Calibri" w:cs="Calibri" w:eastAsia="Calibri" w:hAnsi="Calibri"/>
                <w:b w:val="false"/>
                <w:bCs w:val="false"/>
                <w:i w:val="false"/>
                <w:iCs w:val="false"/>
                <w:strike w:val="false"/>
                <w:color w:val="000000"/>
                <w:sz w:val="18"/>
                <w:szCs w:val="18"/>
              </w:rPr>
              <w:t xml:space="preserve"> expertise IA + tissu PME. </w:t>
            </w:r>
            <w:r>
              <w:rPr>
                <w:rFonts w:ascii="Calibri" w:cs="Calibri" w:eastAsia="Calibri" w:hAnsi="Calibri"/>
                <w:b/>
                <w:bCs/>
                <w:i w:val="false"/>
                <w:iCs w:val="false"/>
                <w:strike w:val="false"/>
                <w:color w:val="000000"/>
                <w:sz w:val="22"/>
                <w:szCs w:val="22"/>
              </w:rPr>
              <w:t xml:space="preserve">Risque :</w:t>
            </w:r>
            <w:r>
              <w:rPr>
                <w:rFonts w:ascii="Calibri" w:cs="Calibri" w:eastAsia="Calibri" w:hAnsi="Calibri"/>
                <w:b w:val="false"/>
                <w:bCs w:val="false"/>
                <w:i w:val="false"/>
                <w:iCs w:val="false"/>
                <w:strike w:val="false"/>
                <w:color w:val="000000"/>
                <w:sz w:val="18"/>
                <w:szCs w:val="18"/>
              </w:rPr>
              <w:t xml:space="preserve"> adoption trop lente.</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2030-2040</w:t>
            </w:r>
          </w:p>
        </w:tc>
        <w:tc>
          <w:tcPr>
            <w:tcW w:type="pct" w:w="4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Économie post-travail.</w:t>
            </w:r>
            <w:r>
              <w:rPr>
                <w:rFonts w:ascii="Calibri" w:cs="Calibri" w:eastAsia="Calibri" w:hAnsi="Calibri"/>
                <w:b w:val="false"/>
                <w:bCs w:val="false"/>
                <w:i w:val="false"/>
                <w:iCs w:val="false"/>
                <w:strike w:val="false"/>
                <w:color w:val="000000"/>
                <w:sz w:val="18"/>
                <w:szCs w:val="18"/>
              </w:rPr>
              <w:t xml:space="preserve"> Déplacement de main-d’œuvre à grande échelle. Même un approfondissement modéré du capital IA pourrait doubler la sous-utilisation de la main-d’œuvre et diminuer le revenu par habitant de </w:t>
            </w:r>
            <w:r>
              <w:rPr>
                <w:rFonts w:ascii="Calibri" w:cs="Calibri" w:eastAsia="Calibri" w:hAnsi="Calibri"/>
                <w:b/>
                <w:bCs/>
                <w:i w:val="false"/>
                <w:iCs w:val="false"/>
                <w:strike w:val="false"/>
                <w:color w:val="000000"/>
                <w:sz w:val="22"/>
                <w:szCs w:val="22"/>
              </w:rPr>
              <w:t xml:space="preserve">26 %</w:t>
            </w:r>
            <w:r>
              <w:rPr>
                <w:rFonts w:ascii="Calibri" w:cs="Calibri" w:eastAsia="Calibri" w:hAnsi="Calibri"/>
                <w:b w:val="false"/>
                <w:bCs w:val="false"/>
                <w:i w:val="false"/>
                <w:iCs w:val="false"/>
                <w:strike w:val="false"/>
                <w:color w:val="000000"/>
                <w:sz w:val="18"/>
                <w:szCs w:val="18"/>
              </w:rPr>
              <w:t xml:space="preserve"> (Nature, juillet 2025). Pilotes de revenu universel émergents.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Transformation sociétale fondamentale. Nécessité de nouveaux modèles économiques.</w:t>
            </w:r>
          </w:p>
        </w:tc>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Impréparé.</w:t>
            </w:r>
            <w:r>
              <w:rPr>
                <w:rFonts w:ascii="Calibri" w:cs="Calibri" w:eastAsia="Calibri" w:hAnsi="Calibri"/>
                <w:b w:val="false"/>
                <w:bCs w:val="false"/>
                <w:i w:val="false"/>
                <w:iCs w:val="false"/>
                <w:strike w:val="false"/>
                <w:color w:val="000000"/>
                <w:sz w:val="18"/>
                <w:szCs w:val="18"/>
              </w:rPr>
              <w:t xml:space="preserve"> Aucun cadre de réflexion en place.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Point critique</w:t>
            </w:r>
          </w:p>
          <w:p>
            <w:pPr>
              <w:spacing w:after="120" w:line="360" w:lineRule="auto"/>
            </w:pPr>
            <w:r>
              <w:rPr>
                <w:rFonts w:ascii="Calibri" w:cs="Calibri" w:eastAsia="Calibri" w:hAnsi="Calibri"/>
                <w:b w:val="false"/>
                <w:bCs w:val="false"/>
                <w:i w:val="false"/>
                <w:iCs w:val="false"/>
                <w:strike w:val="false"/>
                <w:color w:val="000000"/>
                <w:sz w:val="22"/>
                <w:szCs w:val="22"/>
              </w:rPr>
              <w:t xml:space="preserve">Les vagues 1 à 3 sont déjà amorcées. La fenêtre d’action stratégique du Québec se situe entre </w:t>
            </w:r>
            <w:r>
              <w:rPr>
                <w:rFonts w:ascii="Calibri" w:cs="Calibri" w:eastAsia="Calibri" w:hAnsi="Calibri"/>
                <w:b/>
                <w:bCs/>
                <w:i w:val="false"/>
                <w:iCs w:val="false"/>
                <w:strike w:val="false"/>
                <w:color w:val="000000"/>
                <w:sz w:val="22"/>
                <w:szCs w:val="22"/>
              </w:rPr>
              <w:t xml:space="preserve">avril 2026 et décembre 2027</w:t>
            </w:r>
            <w:r>
              <w:rPr>
                <w:rFonts w:ascii="Calibri" w:cs="Calibri" w:eastAsia="Calibri" w:hAnsi="Calibri"/>
                <w:b w:val="false"/>
                <w:bCs w:val="false"/>
                <w:i w:val="false"/>
                <w:iCs w:val="false"/>
                <w:strike w:val="false"/>
                <w:color w:val="000000"/>
                <w:sz w:val="22"/>
                <w:szCs w:val="22"/>
              </w:rPr>
              <w:t xml:space="preserve">. Au-delà, les positions seront consolidées et les corridors d’entrée considérablement réduits.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4 : Cartographie des actifs québécois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 Québec dispose d’un ensemble d’actifs stratégiques significatifs, mais chacun présente des lacunes critiques qui empêchent leur pleine mobilisation dans le contexte AGI.</w:t>
      </w:r>
    </w:p>
    <w:p>
      <w:pPr>
        <w:spacing w:after="60" w:before="360" w:line="360" w:lineRule="auto"/>
      </w:pPr>
      <w:r>
        <w:rPr>
          <w:rFonts w:ascii="Calibri" w:cs="Calibri" w:eastAsia="Calibri" w:hAnsi="Calibri"/>
          <w:b/>
          <w:bCs/>
          <w:i w:val="false"/>
          <w:iCs w:val="false"/>
          <w:strike w:val="false"/>
          <w:color w:val="2B5797"/>
          <w:sz w:val="20"/>
          <w:szCs w:val="20"/>
        </w:rPr>
        <w:t xml:space="preserve">Exhibit 4 — Actifs stratégiques du Québec pour l’ère AGI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Catégorie</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Actif</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Force</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Gap critique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Recherche IA</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Mila (Yoshua Bengio), McGill, UdeM, Polytechnique, ÉTS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N° 1 mondial en recherche IA académique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Pas de mandat de calcul industriel</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Robotique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Kinova Robotics, Sanctuary AI (Vancouver, lien QC)</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Leaders canadiens en robotique et humanoïde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Pas de chaîne d’assemblage intégrée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Énergie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Hydro-Québec (énergie propre, tarifs compétitifs)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Avantage structurel pour les centres de données IA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Pas de stratégie « AI energy »</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Manufacturing</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Base industrielle Rive-Nord, Mauricie, Corridor 40</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Sous-traitance aéronautique, automobile, défense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Pas de pivot vers la robotique humanoïde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Talent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Scale AI, IVADO, Chaires CIFAR en IA (125+)</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Pipeline de talents IA solide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Exode des cerveaux vers les É.-U. (salaires 2-3x)</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Capital</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BDC, Investissement Québec, fonds de capital-risque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Écosystème de financement existant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Pas de fonds dédié AGI/robotique</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Régulation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Commission de l’éthique (CEST), Loi 25</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Cadre éthique existant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Pas de cadre spécifique à l’AGI</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5 : Recommandations stratégiques au Ministre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Les six recommandations suivantes constituent une feuille de route intégrée. Elles sont ordonnées par priorité temporelle et structurées selon le format : description, investissement requis, échéancier et indicateur clé de performance.</w:t>
      </w:r>
    </w:p>
    <w:p>
      <w:pPr>
        <w:pStyle w:val="Heading2"/>
        <w:spacing w:after="120" w:before="360" w:line="312" w:lineRule="auto"/>
      </w:pPr>
      <w:r>
        <w:rPr>
          <w:rFonts w:ascii="Calibri" w:cs="Calibri" w:eastAsia="Calibri" w:hAnsi="Calibri"/>
          <w:color w:val="1A1A1A"/>
          <w:sz w:val="36"/>
          <w:szCs w:val="36"/>
        </w:rPr>
        <w:t xml:space="preserve">Recommandation 1 : Créer le Bureau québécois de préparation à l’AGI (BQ-AGI)</w:t>
      </w:r>
    </w:p>
    <w:p>
      <w:pPr>
        <w:spacing w:after="120" w:before="60" w:line="360" w:lineRule="auto"/>
      </w:pPr>
      <w:r>
        <w:rPr>
          <w:rFonts w:ascii="Calibri" w:cs="Calibri" w:eastAsia="Calibri" w:hAnsi="Calibri"/>
          <w:b/>
          <w:bCs/>
          <w:i w:val="false"/>
          <w:iCs w:val="false"/>
          <w:strike w:val="false"/>
          <w:color w:val="000000"/>
          <w:sz w:val="22"/>
          <w:szCs w:val="22"/>
        </w:rPr>
        <w:t xml:space="preserve">Mandat :</w:t>
      </w:r>
      <w:r>
        <w:rPr>
          <w:rFonts w:ascii="Calibri" w:cs="Calibri" w:eastAsia="Calibri" w:hAnsi="Calibri"/>
          <w:b w:val="false"/>
          <w:bCs w:val="false"/>
          <w:i w:val="false"/>
          <w:iCs w:val="false"/>
          <w:strike w:val="false"/>
          <w:color w:val="000000"/>
          <w:sz w:val="22"/>
          <w:szCs w:val="22"/>
        </w:rPr>
        <w:t xml:space="preserve"> veille stratégique permanente, élaboration de scénarios d’impact, coordination interministérielle sur les enjeux AGI.</w:t>
      </w:r>
    </w:p>
    <w:p>
      <w:pPr>
        <w:spacing w:after="120" w:before="60" w:line="360" w:lineRule="auto"/>
      </w:pPr>
      <w:r>
        <w:rPr>
          <w:rFonts w:ascii="Calibri" w:cs="Calibri" w:eastAsia="Calibri" w:hAnsi="Calibri"/>
          <w:b/>
          <w:bCs/>
          <w:i w:val="false"/>
          <w:iCs w:val="false"/>
          <w:strike w:val="false"/>
          <w:color w:val="000000"/>
          <w:sz w:val="22"/>
          <w:szCs w:val="22"/>
        </w:rPr>
        <w:t xml:space="preserve">Structure :</w:t>
      </w:r>
      <w:r>
        <w:rPr>
          <w:rFonts w:ascii="Calibri" w:cs="Calibri" w:eastAsia="Calibri" w:hAnsi="Calibri"/>
          <w:b w:val="false"/>
          <w:bCs w:val="false"/>
          <w:i w:val="false"/>
          <w:iCs w:val="false"/>
          <w:strike w:val="false"/>
          <w:color w:val="000000"/>
          <w:sz w:val="22"/>
          <w:szCs w:val="22"/>
        </w:rPr>
        <w:t xml:space="preserve"> équipe de 15 personnes, rattachée au Bureau de l’innovation.</w:t>
      </w:r>
    </w:p>
    <w:p>
      <w:pPr>
        <w:spacing w:after="120" w:before="60" w:line="360" w:lineRule="auto"/>
      </w:pPr>
      <w:r>
        <w:rPr>
          <w:rFonts w:ascii="Calibri" w:cs="Calibri" w:eastAsia="Calibri" w:hAnsi="Calibri"/>
          <w:b/>
          <w:bCs/>
          <w:i w:val="false"/>
          <w:iCs w:val="false"/>
          <w:strike w:val="false"/>
          <w:color w:val="000000"/>
          <w:sz w:val="22"/>
          <w:szCs w:val="22"/>
        </w:rPr>
        <w:t xml:space="preserve">Investissement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5 M$/an</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Échéancier :</w:t>
      </w:r>
      <w:r>
        <w:rPr>
          <w:rFonts w:ascii="Calibri" w:cs="Calibri" w:eastAsia="Calibri" w:hAnsi="Calibri"/>
          <w:b w:val="false"/>
          <w:bCs w:val="false"/>
          <w:i w:val="false"/>
          <w:iCs w:val="false"/>
          <w:strike w:val="false"/>
          <w:color w:val="000000"/>
          <w:sz w:val="22"/>
          <w:szCs w:val="22"/>
        </w:rPr>
        <w:t xml:space="preserve"> T3 2026.</w:t>
      </w:r>
    </w:p>
    <w:p>
      <w:pPr>
        <w:spacing w:after="120" w:before="60" w:line="360" w:lineRule="auto"/>
      </w:pPr>
      <w:r>
        <w:rPr>
          <w:rFonts w:ascii="Calibri" w:cs="Calibri" w:eastAsia="Calibri" w:hAnsi="Calibri"/>
          <w:b/>
          <w:bCs/>
          <w:i w:val="false"/>
          <w:iCs w:val="false"/>
          <w:strike w:val="false"/>
          <w:color w:val="000000"/>
          <w:sz w:val="22"/>
          <w:szCs w:val="22"/>
        </w:rPr>
        <w:t xml:space="preserve">KPI :</w:t>
      </w:r>
      <w:r>
        <w:rPr>
          <w:rFonts w:ascii="Calibri" w:cs="Calibri" w:eastAsia="Calibri" w:hAnsi="Calibri"/>
          <w:b w:val="false"/>
          <w:bCs w:val="false"/>
          <w:i w:val="false"/>
          <w:iCs w:val="false"/>
          <w:strike w:val="false"/>
          <w:color w:val="000000"/>
          <w:sz w:val="22"/>
          <w:szCs w:val="22"/>
        </w:rPr>
        <w:t xml:space="preserve"> premier rapport de situation au Conseil des ministres d’ici T4 2026.</w:t>
      </w:r>
    </w:p>
    <w:p>
      <w:pPr>
        <w:pStyle w:val="Heading2"/>
        <w:spacing w:after="120" w:before="360" w:line="312" w:lineRule="auto"/>
      </w:pPr>
      <w:r>
        <w:rPr>
          <w:rFonts w:ascii="Calibri" w:cs="Calibri" w:eastAsia="Calibri" w:hAnsi="Calibri"/>
          <w:color w:val="1A1A1A"/>
          <w:sz w:val="36"/>
          <w:szCs w:val="36"/>
        </w:rPr>
        <w:t xml:space="preserve">Recommandation 2 : Lancer un programme de souveraineté computationnelle québécoise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Construire un cluster GPU souverain (</w:t>
      </w:r>
      <w:r>
        <w:rPr>
          <w:rFonts w:ascii="Calibri" w:cs="Calibri" w:eastAsia="Calibri" w:hAnsi="Calibri"/>
          <w:b/>
          <w:bCs/>
          <w:i w:val="false"/>
          <w:iCs w:val="false"/>
          <w:strike w:val="false"/>
          <w:color w:val="000000"/>
          <w:sz w:val="22"/>
          <w:szCs w:val="22"/>
        </w:rPr>
        <w:t xml:space="preserve">10 000 GPU minimum</w:t>
      </w:r>
      <w:r>
        <w:rPr>
          <w:rFonts w:ascii="Calibri" w:cs="Calibri" w:eastAsia="Calibri" w:hAnsi="Calibri"/>
          <w:b w:val="false"/>
          <w:bCs w:val="false"/>
          <w:i w:val="false"/>
          <w:iCs w:val="false"/>
          <w:strike w:val="false"/>
          <w:color w:val="000000"/>
          <w:sz w:val="22"/>
          <w:szCs w:val="22"/>
        </w:rPr>
        <w:t xml:space="preserve">) alimenté par Hydro-Québec. Établir un partenariat Mila + industrie pour l’entraînement de modèles souverains.</w:t>
      </w:r>
    </w:p>
    <w:p>
      <w:pPr>
        <w:spacing w:after="120" w:before="60" w:line="360" w:lineRule="auto"/>
      </w:pPr>
      <w:r>
        <w:rPr>
          <w:rFonts w:ascii="Calibri" w:cs="Calibri" w:eastAsia="Calibri" w:hAnsi="Calibri"/>
          <w:b/>
          <w:bCs/>
          <w:i w:val="false"/>
          <w:iCs w:val="false"/>
          <w:strike w:val="false"/>
          <w:color w:val="000000"/>
          <w:sz w:val="22"/>
          <w:szCs w:val="22"/>
        </w:rPr>
        <w:t xml:space="preserve">Investissement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500 M$ sur 5 ans</w:t>
      </w:r>
      <w:r>
        <w:rPr>
          <w:rFonts w:ascii="Calibri" w:cs="Calibri" w:eastAsia="Calibri" w:hAnsi="Calibri"/>
          <w:b w:val="false"/>
          <w:bCs w:val="false"/>
          <w:i w:val="false"/>
          <w:iCs w:val="false"/>
          <w:strike w:val="false"/>
          <w:color w:val="000000"/>
          <w:sz w:val="22"/>
          <w:szCs w:val="22"/>
        </w:rPr>
        <w:t xml:space="preserve"> (comparable à l’IndiaAI Mission ajusté au PIB).</w:t>
      </w:r>
    </w:p>
    <w:p>
      <w:pPr>
        <w:spacing w:after="120" w:before="60" w:line="360" w:lineRule="auto"/>
      </w:pPr>
      <w:r>
        <w:rPr>
          <w:rFonts w:ascii="Calibri" w:cs="Calibri" w:eastAsia="Calibri" w:hAnsi="Calibri"/>
          <w:b/>
          <w:bCs/>
          <w:i w:val="false"/>
          <w:iCs w:val="false"/>
          <w:strike w:val="false"/>
          <w:color w:val="000000"/>
          <w:sz w:val="22"/>
          <w:szCs w:val="22"/>
        </w:rPr>
        <w:t xml:space="preserve">Échéancier :</w:t>
      </w:r>
      <w:r>
        <w:rPr>
          <w:rFonts w:ascii="Calibri" w:cs="Calibri" w:eastAsia="Calibri" w:hAnsi="Calibri"/>
          <w:b w:val="false"/>
          <w:bCs w:val="false"/>
          <w:i w:val="false"/>
          <w:iCs w:val="false"/>
          <w:strike w:val="false"/>
          <w:color w:val="000000"/>
          <w:sz w:val="22"/>
          <w:szCs w:val="22"/>
        </w:rPr>
        <w:t xml:space="preserve"> appel à projets T4 2026, premier cluster opérationnel T3 2027.</w:t>
      </w:r>
    </w:p>
    <w:p>
      <w:pPr>
        <w:spacing w:after="120" w:before="60" w:line="360" w:lineRule="auto"/>
      </w:pPr>
      <w:r>
        <w:rPr>
          <w:rFonts w:ascii="Calibri" w:cs="Calibri" w:eastAsia="Calibri" w:hAnsi="Calibri"/>
          <w:b/>
          <w:bCs/>
          <w:i w:val="false"/>
          <w:iCs w:val="false"/>
          <w:strike w:val="false"/>
          <w:color w:val="000000"/>
          <w:sz w:val="22"/>
          <w:szCs w:val="22"/>
        </w:rPr>
        <w:t xml:space="preserve">KPI :</w:t>
      </w:r>
      <w:r>
        <w:rPr>
          <w:rFonts w:ascii="Calibri" w:cs="Calibri" w:eastAsia="Calibri" w:hAnsi="Calibri"/>
          <w:b w:val="false"/>
          <w:bCs w:val="false"/>
          <w:i w:val="false"/>
          <w:iCs w:val="false"/>
          <w:strike w:val="false"/>
          <w:color w:val="000000"/>
          <w:sz w:val="22"/>
          <w:szCs w:val="22"/>
        </w:rPr>
        <w:t xml:space="preserve"> capacité d’entraîner un modèle de </w:t>
      </w:r>
      <w:r>
        <w:rPr>
          <w:rFonts w:ascii="Calibri" w:cs="Calibri" w:eastAsia="Calibri" w:hAnsi="Calibri"/>
          <w:b/>
          <w:bCs/>
          <w:i w:val="false"/>
          <w:iCs w:val="false"/>
          <w:strike w:val="false"/>
          <w:color w:val="000000"/>
          <w:sz w:val="22"/>
          <w:szCs w:val="22"/>
        </w:rPr>
        <w:t xml:space="preserve">100 milliards+ de paramètres</w:t>
      </w:r>
      <w:r>
        <w:rPr>
          <w:rFonts w:ascii="Calibri" w:cs="Calibri" w:eastAsia="Calibri" w:hAnsi="Calibri"/>
          <w:b w:val="false"/>
          <w:bCs w:val="false"/>
          <w:i w:val="false"/>
          <w:iCs w:val="false"/>
          <w:strike w:val="false"/>
          <w:color w:val="000000"/>
          <w:sz w:val="22"/>
          <w:szCs w:val="22"/>
        </w:rPr>
        <w:t xml:space="preserve"> sur infrastructure québécoise.</w:t>
      </w:r>
    </w:p>
    <w:p>
      <w:pPr>
        <w:pStyle w:val="Heading2"/>
        <w:spacing w:after="120" w:before="360" w:line="312" w:lineRule="auto"/>
      </w:pPr>
      <w:r>
        <w:rPr>
          <w:rFonts w:ascii="Calibri" w:cs="Calibri" w:eastAsia="Calibri" w:hAnsi="Calibri"/>
          <w:color w:val="1A1A1A"/>
          <w:sz w:val="36"/>
          <w:szCs w:val="36"/>
        </w:rPr>
        <w:t xml:space="preserve">Recommandation 3 : Accélérer la production de robotique humanoïde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Création de </w:t>
      </w:r>
      <w:r>
        <w:rPr>
          <w:rFonts w:ascii="Calibri" w:cs="Calibri" w:eastAsia="Calibri" w:hAnsi="Calibri"/>
          <w:b/>
          <w:bCs/>
          <w:i w:val="false"/>
          <w:iCs w:val="false"/>
          <w:strike w:val="false"/>
          <w:color w:val="000000"/>
          <w:sz w:val="22"/>
          <w:szCs w:val="22"/>
        </w:rPr>
        <w:t xml:space="preserve">« Robotique Humanoïde Québec » (RHQ)</w:t>
      </w:r>
      <w:r>
        <w:rPr>
          <w:rFonts w:ascii="Calibri" w:cs="Calibri" w:eastAsia="Calibri" w:hAnsi="Calibri"/>
          <w:b w:val="false"/>
          <w:bCs w:val="false"/>
          <w:i w:val="false"/>
          <w:iCs w:val="false"/>
          <w:strike w:val="false"/>
          <w:color w:val="000000"/>
          <w:sz w:val="22"/>
          <w:szCs w:val="22"/>
        </w:rPr>
        <w:t xml:space="preserve">, entité dédiée à la structuration de la filière. Enveloppe de </w:t>
      </w:r>
      <w:r>
        <w:rPr>
          <w:rFonts w:ascii="Calibri" w:cs="Calibri" w:eastAsia="Calibri" w:hAnsi="Calibri"/>
          <w:b/>
          <w:bCs/>
          <w:i w:val="false"/>
          <w:iCs w:val="false"/>
          <w:strike w:val="false"/>
          <w:color w:val="000000"/>
          <w:sz w:val="22"/>
          <w:szCs w:val="22"/>
        </w:rPr>
        <w:t xml:space="preserve">250 M$ sur 5 ans</w:t>
      </w:r>
      <w:r>
        <w:rPr>
          <w:rFonts w:ascii="Calibri" w:cs="Calibri" w:eastAsia="Calibri" w:hAnsi="Calibri"/>
          <w:b w:val="false"/>
          <w:bCs w:val="false"/>
          <w:i w:val="false"/>
          <w:iCs w:val="false"/>
          <w:strike w:val="false"/>
          <w:color w:val="000000"/>
          <w:sz w:val="22"/>
          <w:szCs w:val="22"/>
        </w:rPr>
        <w:t xml:space="preserve">, accompagnée d’un crédit d’impôt de </w:t>
      </w:r>
      <w:r>
        <w:rPr>
          <w:rFonts w:ascii="Calibri" w:cs="Calibri" w:eastAsia="Calibri" w:hAnsi="Calibri"/>
          <w:b/>
          <w:bCs/>
          <w:i w:val="false"/>
          <w:iCs w:val="false"/>
          <w:strike w:val="false"/>
          <w:color w:val="000000"/>
          <w:sz w:val="22"/>
          <w:szCs w:val="22"/>
        </w:rPr>
        <w:t xml:space="preserve">40 %</w:t>
      </w:r>
      <w:r>
        <w:rPr>
          <w:rFonts w:ascii="Calibri" w:cs="Calibri" w:eastAsia="Calibri" w:hAnsi="Calibri"/>
          <w:b w:val="false"/>
          <w:bCs w:val="false"/>
          <w:i w:val="false"/>
          <w:iCs w:val="false"/>
          <w:strike w:val="false"/>
          <w:color w:val="000000"/>
          <w:sz w:val="22"/>
          <w:szCs w:val="22"/>
        </w:rPr>
        <w:t xml:space="preserve"> sur la R&amp;D en robotique. Objectifs : attraction de 3 OEM internationaux, formation de </w:t>
      </w:r>
      <w:r>
        <w:rPr>
          <w:rFonts w:ascii="Calibri" w:cs="Calibri" w:eastAsia="Calibri" w:hAnsi="Calibri"/>
          <w:b/>
          <w:bCs/>
          <w:i w:val="false"/>
          <w:iCs w:val="false"/>
          <w:strike w:val="false"/>
          <w:color w:val="000000"/>
          <w:sz w:val="22"/>
          <w:szCs w:val="22"/>
        </w:rPr>
        <w:t xml:space="preserve">2 500 spécialistes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Échéancier :</w:t>
      </w:r>
      <w:r>
        <w:rPr>
          <w:rFonts w:ascii="Calibri" w:cs="Calibri" w:eastAsia="Calibri" w:hAnsi="Calibri"/>
          <w:b w:val="false"/>
          <w:bCs w:val="false"/>
          <w:i w:val="false"/>
          <w:iCs w:val="false"/>
          <w:strike w:val="false"/>
          <w:color w:val="000000"/>
          <w:sz w:val="22"/>
          <w:szCs w:val="22"/>
        </w:rPr>
        <w:t xml:space="preserve"> T4 2026.</w:t>
      </w:r>
    </w:p>
    <w:p>
      <w:pPr>
        <w:spacing w:after="120" w:before="60" w:line="360" w:lineRule="auto"/>
      </w:pPr>
      <w:r>
        <w:rPr>
          <w:rFonts w:ascii="Calibri" w:cs="Calibri" w:eastAsia="Calibri" w:hAnsi="Calibri"/>
          <w:b/>
          <w:bCs/>
          <w:i w:val="false"/>
          <w:iCs w:val="false"/>
          <w:strike w:val="false"/>
          <w:color w:val="000000"/>
          <w:sz w:val="22"/>
          <w:szCs w:val="22"/>
        </w:rPr>
        <w:t xml:space="preserve">KPI :</w:t>
      </w:r>
      <w:r>
        <w:rPr>
          <w:rFonts w:ascii="Calibri" w:cs="Calibri" w:eastAsia="Calibri" w:hAnsi="Calibri"/>
          <w:b w:val="false"/>
          <w:bCs w:val="false"/>
          <w:i w:val="false"/>
          <w:iCs w:val="false"/>
          <w:strike w:val="false"/>
          <w:color w:val="000000"/>
          <w:sz w:val="22"/>
          <w:szCs w:val="22"/>
        </w:rPr>
        <w:t xml:space="preserve"> premier centre d’assemblage pilote opérationnel d’ici 2028.</w:t>
      </w:r>
    </w:p>
    <w:p>
      <w:pPr>
        <w:spacing w:after="120" w:before="60" w:line="360" w:lineRule="auto"/>
      </w:pPr>
      <w:r>
        <w:rPr>
          <w:rFonts w:ascii="Calibri" w:cs="Calibri" w:eastAsia="Calibri" w:hAnsi="Calibri"/>
          <w:b w:val="false"/>
          <w:bCs w:val="false"/>
          <w:i/>
          <w:iCs/>
          <w:strike w:val="false"/>
          <w:color w:val="000000"/>
          <w:sz w:val="22"/>
          <w:szCs w:val="22"/>
        </w:rPr>
        <w:t xml:space="preserve">Référence : voir Rapport « Axe Stratégique Robotique Humanoïde » pour le détail complet.</w:t>
      </w:r>
    </w:p>
    <w:p>
      <w:pPr>
        <w:pStyle w:val="Heading2"/>
        <w:spacing w:after="120" w:before="360" w:line="312" w:lineRule="auto"/>
      </w:pPr>
      <w:r>
        <w:rPr>
          <w:rFonts w:ascii="Calibri" w:cs="Calibri" w:eastAsia="Calibri" w:hAnsi="Calibri"/>
          <w:color w:val="1A1A1A"/>
          <w:sz w:val="36"/>
          <w:szCs w:val="36"/>
        </w:rPr>
        <w:t xml:space="preserve">Recommandation 4 : Établir un cadre réglementaire AGI proactif</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Ne pas attendre la réglementation fédérale. Adapter la Loi 25 et le cadre éthique existant pour inclure : agents autonomes, systèmes AGI, robotique humanoïde. Créer un « sandbox réglementaire » pour l’innovation AGI.</w:t>
      </w:r>
    </w:p>
    <w:p>
      <w:pPr>
        <w:spacing w:after="120" w:before="60" w:line="360" w:lineRule="auto"/>
      </w:pPr>
      <w:r>
        <w:rPr>
          <w:rFonts w:ascii="Calibri" w:cs="Calibri" w:eastAsia="Calibri" w:hAnsi="Calibri"/>
          <w:b/>
          <w:bCs/>
          <w:i w:val="false"/>
          <w:iCs w:val="false"/>
          <w:strike w:val="false"/>
          <w:color w:val="000000"/>
          <w:sz w:val="22"/>
          <w:szCs w:val="22"/>
        </w:rPr>
        <w:t xml:space="preserve">Investissement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3 M$/an</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Échéancier :</w:t>
      </w:r>
      <w:r>
        <w:rPr>
          <w:rFonts w:ascii="Calibri" w:cs="Calibri" w:eastAsia="Calibri" w:hAnsi="Calibri"/>
          <w:b w:val="false"/>
          <w:bCs w:val="false"/>
          <w:i w:val="false"/>
          <w:iCs w:val="false"/>
          <w:strike w:val="false"/>
          <w:color w:val="000000"/>
          <w:sz w:val="22"/>
          <w:szCs w:val="22"/>
        </w:rPr>
        <w:t xml:space="preserve"> consultation T3 2026, cadre adopté T1 2027.</w:t>
      </w:r>
    </w:p>
    <w:p>
      <w:pPr>
        <w:spacing w:after="120" w:before="60" w:line="360" w:lineRule="auto"/>
      </w:pPr>
      <w:r>
        <w:rPr>
          <w:rFonts w:ascii="Calibri" w:cs="Calibri" w:eastAsia="Calibri" w:hAnsi="Calibri"/>
          <w:b/>
          <w:bCs/>
          <w:i w:val="false"/>
          <w:iCs w:val="false"/>
          <w:strike w:val="false"/>
          <w:color w:val="000000"/>
          <w:sz w:val="22"/>
          <w:szCs w:val="22"/>
        </w:rPr>
        <w:t xml:space="preserve">KPI :</w:t>
      </w:r>
      <w:r>
        <w:rPr>
          <w:rFonts w:ascii="Calibri" w:cs="Calibri" w:eastAsia="Calibri" w:hAnsi="Calibri"/>
          <w:b w:val="false"/>
          <w:bCs w:val="false"/>
          <w:i w:val="false"/>
          <w:iCs w:val="false"/>
          <w:strike w:val="false"/>
          <w:color w:val="000000"/>
          <w:sz w:val="22"/>
          <w:szCs w:val="22"/>
        </w:rPr>
        <w:t xml:space="preserve"> projet de loi déposé d’ici T1 2027.</w:t>
      </w:r>
    </w:p>
    <w:p>
      <w:pPr>
        <w:pStyle w:val="Heading2"/>
        <w:spacing w:after="120" w:before="360" w:line="312" w:lineRule="auto"/>
      </w:pPr>
      <w:r>
        <w:rPr>
          <w:rFonts w:ascii="Calibri" w:cs="Calibri" w:eastAsia="Calibri" w:hAnsi="Calibri"/>
          <w:color w:val="1A1A1A"/>
          <w:sz w:val="36"/>
          <w:szCs w:val="36"/>
        </w:rPr>
        <w:t xml:space="preserve">Recommandation 5 : Créer un programme de transition économique pré-AGI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Anticiper le déplacement de main-d’œuvre </w:t>
      </w:r>
      <w:r>
        <w:rPr>
          <w:rFonts w:ascii="Calibri" w:cs="Calibri" w:eastAsia="Calibri" w:hAnsi="Calibri"/>
          <w:b/>
          <w:bCs/>
          <w:i w:val="false"/>
          <w:iCs w:val="false"/>
          <w:strike w:val="false"/>
          <w:color w:val="000000"/>
          <w:sz w:val="22"/>
          <w:szCs w:val="22"/>
        </w:rPr>
        <w:t xml:space="preserve">avant</w:t>
      </w:r>
      <w:r>
        <w:rPr>
          <w:rFonts w:ascii="Calibri" w:cs="Calibri" w:eastAsia="Calibri" w:hAnsi="Calibri"/>
          <w:b w:val="false"/>
          <w:bCs w:val="false"/>
          <w:i w:val="false"/>
          <w:iCs w:val="false"/>
          <w:strike w:val="false"/>
          <w:color w:val="000000"/>
          <w:sz w:val="22"/>
          <w:szCs w:val="22"/>
        </w:rPr>
        <w:t xml:space="preserve"> qu’il ne survienne. Programme de requalification ciblé : </w:t>
      </w:r>
      <w:r>
        <w:rPr>
          <w:rFonts w:ascii="Calibri" w:cs="Calibri" w:eastAsia="Calibri" w:hAnsi="Calibri"/>
          <w:b/>
          <w:bCs/>
          <w:i w:val="false"/>
          <w:iCs w:val="false"/>
          <w:strike w:val="false"/>
          <w:color w:val="000000"/>
          <w:sz w:val="22"/>
          <w:szCs w:val="22"/>
        </w:rPr>
        <w:t xml:space="preserve">10 000 travailleurs par an</w:t>
      </w:r>
      <w:r>
        <w:rPr>
          <w:rFonts w:ascii="Calibri" w:cs="Calibri" w:eastAsia="Calibri" w:hAnsi="Calibri"/>
          <w:b w:val="false"/>
          <w:bCs w:val="false"/>
          <w:i w:val="false"/>
          <w:iCs w:val="false"/>
          <w:strike w:val="false"/>
          <w:color w:val="000000"/>
          <w:sz w:val="22"/>
          <w:szCs w:val="22"/>
        </w:rPr>
        <w:t xml:space="preserve"> vers les secteurs IA, robotique, maintenance et supervision. Pilote de revenu de transition — non pas un revenu universel, mais un dispositif ciblé sur les travailleurs déplacés par l’IA.</w:t>
      </w:r>
    </w:p>
    <w:p>
      <w:pPr>
        <w:spacing w:after="120" w:before="60" w:line="360" w:lineRule="auto"/>
      </w:pPr>
      <w:r>
        <w:rPr>
          <w:rFonts w:ascii="Calibri" w:cs="Calibri" w:eastAsia="Calibri" w:hAnsi="Calibri"/>
          <w:b/>
          <w:bCs/>
          <w:i w:val="false"/>
          <w:iCs w:val="false"/>
          <w:strike w:val="false"/>
          <w:color w:val="000000"/>
          <w:sz w:val="22"/>
          <w:szCs w:val="22"/>
        </w:rPr>
        <w:t xml:space="preserve">Investissement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200 M$ sur 5 ans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Échéancier :</w:t>
      </w:r>
      <w:r>
        <w:rPr>
          <w:rFonts w:ascii="Calibri" w:cs="Calibri" w:eastAsia="Calibri" w:hAnsi="Calibri"/>
          <w:b w:val="false"/>
          <w:bCs w:val="false"/>
          <w:i w:val="false"/>
          <w:iCs w:val="false"/>
          <w:strike w:val="false"/>
          <w:color w:val="000000"/>
          <w:sz w:val="22"/>
          <w:szCs w:val="22"/>
        </w:rPr>
        <w:t xml:space="preserve"> programme pilote T1 2027.</w:t>
      </w:r>
    </w:p>
    <w:p>
      <w:pPr>
        <w:spacing w:after="120" w:before="60" w:line="360" w:lineRule="auto"/>
      </w:pPr>
      <w:r>
        <w:rPr>
          <w:rFonts w:ascii="Calibri" w:cs="Calibri" w:eastAsia="Calibri" w:hAnsi="Calibri"/>
          <w:b/>
          <w:bCs/>
          <w:i w:val="false"/>
          <w:iCs w:val="false"/>
          <w:strike w:val="false"/>
          <w:color w:val="000000"/>
          <w:sz w:val="22"/>
          <w:szCs w:val="22"/>
        </w:rPr>
        <w:t xml:space="preserve">KPI :</w:t>
      </w:r>
      <w:r>
        <w:rPr>
          <w:rFonts w:ascii="Calibri" w:cs="Calibri" w:eastAsia="Calibri" w:hAnsi="Calibri"/>
          <w:b w:val="false"/>
          <w:bCs w:val="false"/>
          <w:i w:val="false"/>
          <w:iCs w:val="false"/>
          <w:strike w:val="false"/>
          <w:color w:val="000000"/>
          <w:sz w:val="22"/>
          <w:szCs w:val="22"/>
        </w:rPr>
        <w:t xml:space="preserve"> premières cohortes formées d’ici T4 2027.</w:t>
      </w:r>
    </w:p>
    <w:p>
      <w:pPr>
        <w:pStyle w:val="Heading2"/>
        <w:spacing w:after="120" w:before="360" w:line="312" w:lineRule="auto"/>
      </w:pPr>
      <w:r>
        <w:rPr>
          <w:rFonts w:ascii="Calibri" w:cs="Calibri" w:eastAsia="Calibri" w:hAnsi="Calibri"/>
          <w:color w:val="1A1A1A"/>
          <w:sz w:val="36"/>
          <w:szCs w:val="36"/>
        </w:rPr>
        <w:t xml:space="preserve">Recommandation 6 : Positionner le Québec comme hub mondial de l’IA sécuritaire (Safe AI)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Capitaliser sur Yoshua Bengio et Mila comme autorités mondiales en sécurité de l’IA. Accueillir un </w:t>
      </w:r>
      <w:r>
        <w:rPr>
          <w:rFonts w:ascii="Calibri" w:cs="Calibri" w:eastAsia="Calibri" w:hAnsi="Calibri"/>
          <w:b/>
          <w:bCs/>
          <w:i w:val="false"/>
          <w:iCs w:val="false"/>
          <w:strike w:val="false"/>
          <w:color w:val="000000"/>
          <w:sz w:val="22"/>
          <w:szCs w:val="22"/>
        </w:rPr>
        <w:t xml:space="preserve">Sommet AGI Safety Québec 2027</w:t>
      </w:r>
      <w:r>
        <w:rPr>
          <w:rFonts w:ascii="Calibri" w:cs="Calibri" w:eastAsia="Calibri" w:hAnsi="Calibri"/>
          <w:b w:val="false"/>
          <w:bCs w:val="false"/>
          <w:i w:val="false"/>
          <w:iCs w:val="false"/>
          <w:strike w:val="false"/>
          <w:color w:val="000000"/>
          <w:sz w:val="22"/>
          <w:szCs w:val="22"/>
        </w:rPr>
        <w:t xml:space="preserve">. Créer un centre international de certification AGI basé à Montréal.</w:t>
      </w:r>
    </w:p>
    <w:p>
      <w:pPr>
        <w:spacing w:after="120" w:before="60" w:line="360" w:lineRule="auto"/>
      </w:pPr>
      <w:r>
        <w:rPr>
          <w:rFonts w:ascii="Calibri" w:cs="Calibri" w:eastAsia="Calibri" w:hAnsi="Calibri"/>
          <w:b/>
          <w:bCs/>
          <w:i w:val="false"/>
          <w:iCs w:val="false"/>
          <w:strike w:val="false"/>
          <w:color w:val="000000"/>
          <w:sz w:val="22"/>
          <w:szCs w:val="22"/>
        </w:rPr>
        <w:t xml:space="preserve">Investissement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50 M$ sur 3 ans</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Échéancier :</w:t>
      </w:r>
      <w:r>
        <w:rPr>
          <w:rFonts w:ascii="Calibri" w:cs="Calibri" w:eastAsia="Calibri" w:hAnsi="Calibri"/>
          <w:b w:val="false"/>
          <w:bCs w:val="false"/>
          <w:i w:val="false"/>
          <w:iCs w:val="false"/>
          <w:strike w:val="false"/>
          <w:color w:val="000000"/>
          <w:sz w:val="22"/>
          <w:szCs w:val="22"/>
        </w:rPr>
        <w:t xml:space="preserve"> annonce T4 2026, sommet T2 2027.</w:t>
      </w:r>
    </w:p>
    <w:p>
      <w:pPr>
        <w:spacing w:after="120" w:before="60" w:line="360" w:lineRule="auto"/>
      </w:pPr>
      <w:r>
        <w:rPr>
          <w:rFonts w:ascii="Calibri" w:cs="Calibri" w:eastAsia="Calibri" w:hAnsi="Calibri"/>
          <w:b/>
          <w:bCs/>
          <w:i w:val="false"/>
          <w:iCs w:val="false"/>
          <w:strike w:val="false"/>
          <w:color w:val="000000"/>
          <w:sz w:val="22"/>
          <w:szCs w:val="22"/>
        </w:rPr>
        <w:t xml:space="preserve">KPI :</w:t>
      </w:r>
      <w:r>
        <w:rPr>
          <w:rFonts w:ascii="Calibri" w:cs="Calibri" w:eastAsia="Calibri" w:hAnsi="Calibri"/>
          <w:b w:val="false"/>
          <w:bCs w:val="false"/>
          <w:i w:val="false"/>
          <w:iCs w:val="false"/>
          <w:strike w:val="false"/>
          <w:color w:val="000000"/>
          <w:sz w:val="22"/>
          <w:szCs w:val="22"/>
        </w:rPr>
        <w:t xml:space="preserve"> 500+ participants internationaux au sommet; premiers certificats émis d’ici 2029.</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6 : Jalons et indicateurs 2026-2030</w:t>
      </w:r>
    </w:p>
    <w:p>
      <w:pPr>
        <w:spacing w:after="60" w:before="360" w:line="360" w:lineRule="auto"/>
      </w:pPr>
      <w:r>
        <w:rPr>
          <w:rFonts w:ascii="Calibri" w:cs="Calibri" w:eastAsia="Calibri" w:hAnsi="Calibri"/>
          <w:b/>
          <w:bCs/>
          <w:i w:val="false"/>
          <w:iCs w:val="false"/>
          <w:strike w:val="false"/>
          <w:color w:val="2B5797"/>
          <w:sz w:val="20"/>
          <w:szCs w:val="20"/>
        </w:rPr>
        <w:t xml:space="preserve">Exhibit 5 — Feuille de route stratégique 2026-2030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Horizon</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Jalon</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Indicateur de succès</w:t>
            </w:r>
          </w:p>
        </w:tc>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Responsable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T3 2026</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Création du BQ-AGI</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Bureau opérationnel, équipe de 15 recrutée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Cabinet du Ministre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T4 2026</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Appel à projets souveraineté compute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Cahier des charges publié</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BQ-AGI + Mila</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T4 2026</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Lancement de RHQ</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Entité créée, premiers partenariats signés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MEI + Investissement QC</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T1 2027</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Cadre réglementaire AGI</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Projet de loi déposé</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CEST + Justice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T2 2027</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Sommet AGI Safety Québec</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500+ participants internationaux</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BQ-AGI + Mila</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T3 2027</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Cluster souverain opérationnel</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10 000 GPU, premier modèle entraîné</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BQ-AGI + Hydro-QC</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T4 2027</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Programme transition — 10 000 travailleurs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Premières cohortes formées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Emploi-Québec + MEI</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2028</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Premier centre d’assemblage robotique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Production pilote lancée</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RHQ</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2029</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Certification AGI Montréal</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Premiers certificats émis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Centre international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2030</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Écosystème intégré AGI-Robotique</w:t>
            </w:r>
          </w:p>
        </w:tc>
        <w:tc>
          <w:tcPr>
            <w:tcW w:type="pct" w:w="3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5 000 emplois directs, 2 G$ de revenus</w:t>
            </w:r>
          </w:p>
        </w:tc>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BQ-AGI</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7 : Risques et scénarios</w:t>
      </w:r>
    </w:p>
    <w:p>
      <w:pPr>
        <w:spacing w:after="60" w:before="360" w:line="360" w:lineRule="auto"/>
      </w:pPr>
      <w:r>
        <w:rPr>
          <w:rFonts w:ascii="Calibri" w:cs="Calibri" w:eastAsia="Calibri" w:hAnsi="Calibri"/>
          <w:b/>
          <w:bCs/>
          <w:i w:val="false"/>
          <w:iCs w:val="false"/>
          <w:strike w:val="false"/>
          <w:color w:val="2B5797"/>
          <w:sz w:val="20"/>
          <w:szCs w:val="20"/>
        </w:rPr>
        <w:t xml:space="preserve">Exhibit 6 — Matrice des risques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Risque</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Probabilité</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Impact</w:t>
            </w:r>
          </w:p>
        </w:tc>
        <w:tc>
          <w:tcPr>
            <w:tcW w:type="pct" w:w="3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Mitigation</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AGI arrive avant 2028 (scénario accéléré)</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Moyenne-haute</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Critique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BQ-AGI doit être opérationnel dès T3 2026</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Perte de souveraineté computationnelle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Haute</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Majeur</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Cluster souverain prioritaire</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Exode accéléré des cerveaux vers les É.-U.</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Haute</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Majeur</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Salaires compétitifs, conditions de recherche</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Déplacement massif d’emplois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Haute (2028-2032)</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Critique</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Programme de transition dès 2027</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Retard réglementaire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Moyenne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Modéré</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Ne pas attendre le fédéral</w:t>
            </w:r>
          </w:p>
        </w:tc>
      </w:tr>
      <w:tr>
        <w:trPr>
          <w:tblHeader w:val="false"/>
        </w:trPr>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Concentration industrielle (winner-take-all)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Haute</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Majeur</w:t>
            </w:r>
          </w:p>
        </w:tc>
        <w:tc>
          <w:tcPr>
            <w:tcW w:type="pct" w:w="3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Positionnement de niche (Safe AI, robotique nordique)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Trois scénarios prospectifs</w:t>
      </w:r>
    </w:p>
    <w:p>
      <w:pPr>
        <w:spacing w:after="120" w:before="60" w:line="360" w:lineRule="auto"/>
      </w:pPr>
      <w:r>
        <w:rPr>
          <w:rFonts w:ascii="Calibri" w:cs="Calibri" w:eastAsia="Calibri" w:hAnsi="Calibri"/>
          <w:b/>
          <w:bCs/>
          <w:i w:val="false"/>
          <w:iCs w:val="false"/>
          <w:strike w:val="false"/>
          <w:color w:val="000000"/>
          <w:sz w:val="22"/>
          <w:szCs w:val="22"/>
        </w:rPr>
        <w:t xml:space="preserve">Scénario A — Leadership (probabilité : 20 %)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 Québec agit rapidement, devient un hub mondial de l’IA sécuritaire, attire des OEM internationaux et bâtit une infrastructure de calcul souverain. Résultat : </w:t>
      </w:r>
      <w:r>
        <w:rPr>
          <w:rFonts w:ascii="Calibri" w:cs="Calibri" w:eastAsia="Calibri" w:hAnsi="Calibri"/>
          <w:b/>
          <w:bCs/>
          <w:i w:val="false"/>
          <w:iCs w:val="false"/>
          <w:strike w:val="false"/>
          <w:color w:val="000000"/>
          <w:sz w:val="22"/>
          <w:szCs w:val="22"/>
        </w:rPr>
        <w:t xml:space="preserve">10 000+ emplois directs</w:t>
      </w:r>
      <w:r>
        <w:rPr>
          <w:rFonts w:ascii="Calibri" w:cs="Calibri" w:eastAsia="Calibri" w:hAnsi="Calibri"/>
          <w:b w:val="false"/>
          <w:bCs w:val="false"/>
          <w:i w:val="false"/>
          <w:iCs w:val="false"/>
          <w:strike w:val="false"/>
          <w:color w:val="000000"/>
          <w:sz w:val="22"/>
          <w:szCs w:val="22"/>
        </w:rPr>
        <w:t xml:space="preserve"> d’ici 2030. Positionnement de référence en Amérique du Nord pour la gouvernance AGI et la robotique humanoïde.</w:t>
      </w:r>
    </w:p>
    <w:p>
      <w:pPr>
        <w:spacing w:after="120" w:before="60" w:line="360" w:lineRule="auto"/>
      </w:pPr>
      <w:r>
        <w:rPr>
          <w:rFonts w:ascii="Calibri" w:cs="Calibri" w:eastAsia="Calibri" w:hAnsi="Calibri"/>
          <w:b/>
          <w:bCs/>
          <w:i w:val="false"/>
          <w:iCs w:val="false"/>
          <w:strike w:val="false"/>
          <w:color w:val="000000"/>
          <w:sz w:val="22"/>
          <w:szCs w:val="22"/>
        </w:rPr>
        <w:t xml:space="preserve">Scénario B — Suiveur (probabilité : 50 %)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 Québec suit l’orientation fédérale, adopte partiellement les technologies AGI, investit de manière modérée. Résultat : </w:t>
      </w:r>
      <w:r>
        <w:rPr>
          <w:rFonts w:ascii="Calibri" w:cs="Calibri" w:eastAsia="Calibri" w:hAnsi="Calibri"/>
          <w:b/>
          <w:bCs/>
          <w:i w:val="false"/>
          <w:iCs w:val="false"/>
          <w:strike w:val="false"/>
          <w:color w:val="000000"/>
          <w:sz w:val="22"/>
          <w:szCs w:val="22"/>
        </w:rPr>
        <w:t xml:space="preserve">3 000 emplois</w:t>
      </w:r>
      <w:r>
        <w:rPr>
          <w:rFonts w:ascii="Calibri" w:cs="Calibri" w:eastAsia="Calibri" w:hAnsi="Calibri"/>
          <w:b w:val="false"/>
          <w:bCs w:val="false"/>
          <w:i w:val="false"/>
          <w:iCs w:val="false"/>
          <w:strike w:val="false"/>
          <w:color w:val="000000"/>
          <w:sz w:val="22"/>
          <w:szCs w:val="22"/>
        </w:rPr>
        <w:t xml:space="preserve"> d’ici 2030. La dépendance à l’infrastructure américaine persiste. Le Québec reste compétitif en recherche mais pas en déploiement industriel.</w:t>
      </w:r>
    </w:p>
    <w:p>
      <w:pPr>
        <w:spacing w:after="120" w:before="60" w:line="360" w:lineRule="auto"/>
      </w:pPr>
      <w:r>
        <w:rPr>
          <w:rFonts w:ascii="Calibri" w:cs="Calibri" w:eastAsia="Calibri" w:hAnsi="Calibri"/>
          <w:b/>
          <w:bCs/>
          <w:i w:val="false"/>
          <w:iCs w:val="false"/>
          <w:strike w:val="false"/>
          <w:color w:val="000000"/>
          <w:sz w:val="22"/>
          <w:szCs w:val="22"/>
        </w:rPr>
        <w:t xml:space="preserve">Scénario C — Décrochage (probabilité : 30 %)</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 Québec ne parvient pas à agir dans la fenêtre de 18-24 mois. Les talents quittent la province. Aucun calcul souverain n’est déployé. Le Québec devient </w:t>
      </w:r>
      <w:r>
        <w:rPr>
          <w:rFonts w:ascii="Calibri" w:cs="Calibri" w:eastAsia="Calibri" w:hAnsi="Calibri"/>
          <w:b/>
          <w:bCs/>
          <w:i w:val="false"/>
          <w:iCs w:val="false"/>
          <w:strike w:val="false"/>
          <w:color w:val="000000"/>
          <w:sz w:val="22"/>
          <w:szCs w:val="22"/>
        </w:rPr>
        <w:t xml:space="preserve">consommateur, et non producteur, d’AGI</w:t>
      </w:r>
      <w:r>
        <w:rPr>
          <w:rFonts w:ascii="Calibri" w:cs="Calibri" w:eastAsia="Calibri" w:hAnsi="Calibri"/>
          <w:b w:val="false"/>
          <w:bCs w:val="false"/>
          <w:i w:val="false"/>
          <w:iCs w:val="false"/>
          <w:strike w:val="false"/>
          <w:color w:val="000000"/>
          <w:sz w:val="22"/>
          <w:szCs w:val="22"/>
        </w:rPr>
        <w:t xml:space="preserve">. La dépendance économique s’approfondit. Les retombées de la recherche de Mila sont captées par d’autres juridictions.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Avertissement stratégique</w:t>
            </w:r>
          </w:p>
          <w:p>
            <w:pPr>
              <w:spacing w:after="120" w:line="360" w:lineRule="auto"/>
            </w:pPr>
            <w:r>
              <w:rPr>
                <w:rFonts w:ascii="Calibri" w:cs="Calibri" w:eastAsia="Calibri" w:hAnsi="Calibri"/>
                <w:b w:val="false"/>
                <w:bCs w:val="false"/>
                <w:i w:val="false"/>
                <w:iCs w:val="false"/>
                <w:strike w:val="false"/>
                <w:color w:val="000000"/>
                <w:sz w:val="22"/>
                <w:szCs w:val="22"/>
              </w:rPr>
              <w:t xml:space="preserve">Le scénario C n’est pas un scénario d’immobilisme. C’est un scénario de retard relatif : pendant que le Québec délibère, les autres nations exécutent. L’inaction est elle-même une décision stratégique — avec des conséquences mesurables.</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Section 8 : Annexe — Transposition du modèle Terman à l’ère AGI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Le modèle Terman décrit le mécanisme par lequel Frederick Terman, à Stanford, a catalysé la création de la Silicon Valley en combinant six briques fondamentales. Le tableau ci-dessous transpose chaque brique à la réalité québécoise dans le contexte AGI.</w:t>
      </w:r>
    </w:p>
    <w:p>
      <w:pPr>
        <w:spacing w:after="60" w:before="360" w:line="360" w:lineRule="auto"/>
      </w:pPr>
      <w:r>
        <w:rPr>
          <w:rFonts w:ascii="Calibri" w:cs="Calibri" w:eastAsia="Calibri" w:hAnsi="Calibri"/>
          <w:b/>
          <w:bCs/>
          <w:i w:val="false"/>
          <w:iCs w:val="false"/>
          <w:strike w:val="false"/>
          <w:color w:val="2B5797"/>
          <w:sz w:val="20"/>
          <w:szCs w:val="20"/>
        </w:rPr>
        <w:t xml:space="preserve">Exhibit 7 — Transposition du modèle Terman à l’ère AGI</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Brique Terman</w:t>
            </w:r>
          </w:p>
        </w:tc>
        <w:tc>
          <w:tcPr>
            <w:tcW w:type="pct" w:w="3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Silicon Valley (historique)</w:t>
            </w:r>
          </w:p>
        </w:tc>
        <w:tc>
          <w:tcPr>
            <w:tcW w:type="pct" w:w="4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18"/>
                <w:szCs w:val="18"/>
              </w:rPr>
              <w:t xml:space="preserve">Québec — Ère AGI</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Professeur ancré</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Terman à Stanford</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Bengio à Mila — autorité mondiale en Safe AI</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Rétention des talents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Hewlett &amp; Packard restent à Palo Alto</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Programme de rétention : salaires, équité, mission</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Fusion université-industrie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Honors Cooperative Program</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Mila-industrie : compute partagé, co-développement</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Essaimage entrepreneurial</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Fairchild → Intel → Apple</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Kinova → écosystème robotique → OEM attirés</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Concentration géographique</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Palo Alto, Mountain View</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Corridor Montréal – Rive-Nord – Québec</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Capital-risque spécialisé</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Kleiner Perkins, Sequoia</w:t>
            </w:r>
          </w:p>
        </w:tc>
        <w:tc>
          <w:tcPr>
            <w:tcW w:type="pct" w:w="4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18"/>
                <w:szCs w:val="18"/>
              </w:rPr>
              <w:t xml:space="preserve">Fonds AGI-Robotique dédié (500 M$)</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Conclusion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L’intelligence artificielle générale n’est plus une hypothèse académique — c’est un horizon opérationnel à </w:t>
      </w:r>
      <w:r>
        <w:rPr>
          <w:rFonts w:ascii="Calibri" w:cs="Calibri" w:eastAsia="Calibri" w:hAnsi="Calibri"/>
          <w:b/>
          <w:bCs/>
          <w:i w:val="false"/>
          <w:iCs w:val="false"/>
          <w:strike w:val="false"/>
          <w:color w:val="000000"/>
          <w:sz w:val="22"/>
          <w:szCs w:val="22"/>
        </w:rPr>
        <w:t xml:space="preserve">18-36 mois</w:t>
      </w:r>
      <w:r>
        <w:rPr>
          <w:rFonts w:ascii="Calibri" w:cs="Calibri" w:eastAsia="Calibri" w:hAnsi="Calibri"/>
          <w:b w:val="false"/>
          <w:bCs w:val="false"/>
          <w:i w:val="false"/>
          <w:iCs w:val="false"/>
          <w:strike w:val="false"/>
          <w:color w:val="000000"/>
          <w:sz w:val="22"/>
          <w:szCs w:val="22"/>
        </w:rPr>
        <w:t xml:space="preserve">. Les nations qui investissent aujourd’hui dans la souveraineté computationnelle, la robotique humanoïde et les cadres de gouvernance AGI définiront l’ordre économique de la prochaine décennie. Le Québec possède les atouts fondamentaux — Mila, l’énergie propre, la base manufacturière, le capital humain — mais il lui manque la volonté d’investissement et la vitesse d’exécution. Le coût de l’inaction est exponentiellement supérieur au coût de l’action. La recommandation de ce rapport est sans ambiguïté : </w:t>
      </w:r>
      <w:r>
        <w:rPr>
          <w:rFonts w:ascii="Calibri" w:cs="Calibri" w:eastAsia="Calibri" w:hAnsi="Calibri"/>
          <w:b/>
          <w:bCs/>
          <w:i w:val="false"/>
          <w:iCs w:val="false"/>
          <w:strike w:val="false"/>
          <w:color w:val="000000"/>
          <w:sz w:val="22"/>
          <w:szCs w:val="22"/>
        </w:rPr>
        <w:t xml:space="preserve">agir maintenant</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L’investissement total proposé s’élève à environ </w:t>
      </w:r>
      <w:r>
        <w:rPr>
          <w:rFonts w:ascii="Calibri" w:cs="Calibri" w:eastAsia="Calibri" w:hAnsi="Calibri"/>
          <w:b/>
          <w:bCs/>
          <w:i w:val="false"/>
          <w:iCs w:val="false"/>
          <w:strike w:val="false"/>
          <w:color w:val="000000"/>
          <w:sz w:val="22"/>
          <w:szCs w:val="22"/>
        </w:rPr>
        <w:t xml:space="preserve">1,008 milliard de dollars sur 5 ans</w:t>
      </w:r>
      <w:r>
        <w:rPr>
          <w:rFonts w:ascii="Calibri" w:cs="Calibri" w:eastAsia="Calibri" w:hAnsi="Calibri"/>
          <w:b w:val="false"/>
          <w:bCs w:val="false"/>
          <w:i w:val="false"/>
          <w:iCs w:val="false"/>
          <w:strike w:val="false"/>
          <w:color w:val="000000"/>
          <w:sz w:val="22"/>
          <w:szCs w:val="22"/>
        </w:rPr>
        <w:t xml:space="preserve">, soit une fraction du coût de l’inaction estimé par le scénario C. Chaque trimestre de retard réduit la fenêtre d’opportunité de manière irréversible.</w:t>
      </w:r>
    </w:p>
    <w:p>
      <w:pPr>
        <w:spacing w:after="120" w:before="60" w:line="360" w:lineRule="auto"/>
      </w:pPr>
      <w:r>
        <w:rPr>
          <w:rFonts w:ascii="Calibri" w:cs="Calibri" w:eastAsia="Calibri" w:hAnsi="Calibri"/>
          <w:b w:val="false"/>
          <w:bCs w:val="false"/>
          <w:i/>
          <w:iCs/>
          <w:strike w:val="false"/>
          <w:color w:val="333333"/>
          <w:sz w:val="22"/>
          <w:szCs w:val="22"/>
        </w:rPr>
        <w:t xml:space="preserve">Le prochain rapport de situation sera produit au T3 2026, après la création du Bureau québécois de préparation à l’AGI.</w:t>
      </w:r>
    </w:p>
    <w:p>
      <w:pPr>
        <w:spacing w:after="120" w:before="720" w:line="360" w:lineRule="auto"/>
        <w:jc w:val="center"/>
      </w:pPr>
      <w:r>
        <w:rPr>
          <w:rFonts w:ascii="Calibri" w:cs="Calibri" w:eastAsia="Calibri" w:hAnsi="Calibri"/>
          <w:b w:val="false"/>
          <w:bCs w:val="false"/>
          <w:i w:val="false"/>
          <w:iCs w:val="false"/>
          <w:strike w:val="false"/>
          <w:color w:val="666666"/>
          <w:sz w:val="18"/>
          <w:szCs w:val="18"/>
        </w:rPr>
        <w:t xml:space="preserve">CONFIDENTIEL — Cabinet du Ministre  |  Institut stratégique — Direction IA et technologies émergentes  |  Avril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poge9ryWBry8CYAFLqJVP</dc:title>
  <dc:creator>Un-named</dc:creator>
  <dc:description>Generated document</dc:description>
  <cp:lastModifiedBy>Un-named</cp:lastModifiedBy>
  <cp:revision>1</cp:revision>
  <dcterms:created xsi:type="dcterms:W3CDTF">2026-04-18T04:02:51.349Z</dcterms:created>
  <dcterms:modified xsi:type="dcterms:W3CDTF">2026-04-18T04:02:51.349Z</dcterms:modified>
</cp:coreProperties>
</file>

<file path=docProps/custom.xml><?xml version="1.0" encoding="utf-8"?>
<Properties xmlns="http://schemas.openxmlformats.org/officeDocument/2006/custom-properties" xmlns:vt="http://schemas.openxmlformats.org/officeDocument/2006/docPropsVTypes"/>
</file>