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160" w:line="312" w:lineRule="auto"/>
        <w:jc w:val="center"/>
      </w:pPr>
      <w:r>
        <w:rPr>
          <w:rFonts w:ascii="Cambria" w:cs="Cambria" w:eastAsia="Cambria" w:hAnsi="Cambria"/>
          <w:color w:val="1A1A1A"/>
          <w:sz w:val="56"/>
          <w:szCs w:val="56"/>
        </w:rPr>
        <w:t xml:space="preserve">Évaluation Critique — Architecture Élève IA</w:t>
      </w:r>
    </w:p>
    <w:p>
      <w:pPr>
        <w:spacing w:after="120" w:before="60" w:line="384" w:lineRule="auto"/>
        <w:jc w:val="center"/>
      </w:pPr>
      <w:r>
        <w:rPr>
          <w:rFonts w:ascii="Constantia" w:cs="Constantia" w:eastAsia="Constantia" w:hAnsi="Constantia"/>
          <w:b w:val="false"/>
          <w:bCs w:val="false"/>
          <w:i w:val="false"/>
          <w:iCs w:val="false"/>
          <w:strike w:val="false"/>
          <w:color w:val="000000"/>
          <w:sz w:val="24"/>
          <w:szCs w:val="24"/>
        </w:rPr>
        <w:t xml:space="preserve">Peer Review Structuré du Rapport de Recherche de Y. Maisonneuve (2026)</w:t>
      </w:r>
    </w:p>
    <w:p>
      <w:pPr>
        <w:spacing w:after="120" w:before="60" w:line="384" w:lineRule="auto"/>
        <w:jc w:val="center"/>
      </w:pPr>
      <w:r>
        <w:rPr>
          <w:rFonts w:ascii="Constantia" w:cs="Constantia" w:eastAsia="Constantia" w:hAnsi="Constantia"/>
          <w:b w:val="false"/>
          <w:bCs w:val="false"/>
          <w:i w:val="false"/>
          <w:iCs w:val="false"/>
          <w:strike w:val="false"/>
          <w:color w:val="000000"/>
          <w:sz w:val="24"/>
          <w:szCs w:val="24"/>
        </w:rPr>
        <w:t xml:space="preserve">Document d'évaluation interne — Blueprint / Askio1</w:t>
      </w:r>
    </w:p>
    <w:p>
      <w:pPr>
        <w:spacing w:after="120" w:before="60" w:line="384" w:lineRule="auto"/>
        <w:jc w:val="center"/>
      </w:pPr>
      <w:r>
        <w:rPr>
          <w:rFonts w:ascii="Constantia" w:cs="Constantia" w:eastAsia="Constantia" w:hAnsi="Constantia"/>
          <w:b w:val="false"/>
          <w:bCs w:val="false"/>
          <w:i w:val="false"/>
          <w:iCs w:val="false"/>
          <w:strike w:val="false"/>
          <w:color w:val="000000"/>
          <w:sz w:val="24"/>
          <w:szCs w:val="24"/>
        </w:rPr>
        <w:t xml:space="preserve">Avril 2026</w:t>
      </w:r>
    </w:p>
    <w:p>
      <w:pPr>
        <w:spacing w:after="120" w:before="60" w:line="384" w:lineRule="auto"/>
        <w:jc w:val="center"/>
      </w:pPr>
      <w:r>
        <w:rPr>
          <w:rFonts w:ascii="Constantia" w:cs="Constantia" w:eastAsia="Constantia" w:hAnsi="Constantia"/>
          <w:b w:val="false"/>
          <w:bCs w:val="false"/>
          <w:i/>
          <w:iCs/>
          <w:strike w:val="false"/>
          <w:color w:val="000000"/>
          <w:sz w:val="24"/>
          <w:szCs w:val="24"/>
        </w:rPr>
        <w:t xml:space="preserve">Rapport évalué : « Architecture Élève IA : Métacognition, Mémoire Externe, Curriculum et Boucle ϟP Scolaire — Intégration Blueprint C0–C4 »</w:t>
      </w:r>
    </w:p>
    <w:p>
      <w:pPr>
        <w:spacing w:after="120" w:before="60" w:line="384" w:lineRule="auto"/>
        <w:jc w:val="center"/>
      </w:pPr>
      <w:r>
        <w:rPr>
          <w:rFonts w:ascii="Constantia" w:cs="Constantia" w:eastAsia="Constantia" w:hAnsi="Constantia"/>
          <w:b w:val="false"/>
          <w:bCs w:val="false"/>
          <w:i w:val="false"/>
          <w:iCs w:val="false"/>
          <w:strike w:val="false"/>
          <w:color w:val="000000"/>
          <w:sz w:val="24"/>
          <w:szCs w:val="24"/>
        </w:rPr>
        <w:t xml:space="preserve">Auteur du rapport : Yoan Maisonneuve</w:t>
      </w:r>
    </w:p>
    <w:p>
      <w:pPr>
        <w:pBdr>
          <w:bottom w:val="single" w:color="1A1A1A" w:sz="6"/>
        </w:pBdr>
        <w:spacing w:after="240" w:before="240"/>
      </w:pPr>
    </w:p>
    <w:p>
      <w:pPr>
        <w:pStyle w:val="Heading2"/>
        <w:spacing w:after="120" w:before="360" w:line="312" w:lineRule="auto"/>
      </w:pPr>
      <w:r>
        <w:rPr>
          <w:rFonts w:ascii="Cambria" w:cs="Cambria" w:eastAsia="Cambria" w:hAnsi="Cambria"/>
          <w:color w:val="1A1A1A"/>
          <w:sz w:val="36"/>
          <w:szCs w:val="36"/>
        </w:rPr>
        <w:t xml:space="preserve">Table des matières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Section 0 — Verdict global</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Section 1 — Forces reconnues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Section 2 — Critiques méthodologiques majeures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Section 3 — Critiques théoriques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Section 4 — Risques techniques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Section 5 — Risques éthiques et sociétaux</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Section 6 — Éléments manquants critiques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Section 7 — Recommandations pour révision</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Section 8 — Matrice de risque synthétique</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Section 9 — Conclusion de l'évaluation</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Références de l'évaluation</w:t>
      </w:r>
    </w:p>
    <w:p>
      <w:pPr>
        <w:pStyle w:val="Heading1"/>
        <w:spacing w:after="120" w:before="480" w:line="312" w:lineRule="auto"/>
      </w:pPr>
      <w:r>
        <w:rPr>
          <w:rFonts w:ascii="Cambria" w:cs="Cambria" w:eastAsia="Cambria" w:hAnsi="Cambria"/>
          <w:color w:val="1A1A1A"/>
          <w:sz w:val="48"/>
          <w:szCs w:val="48"/>
        </w:rPr>
        <w:t xml:space="preserve">Section 0 — Verdict global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9F7F4" w:color="auto" w:val="clear"/>
            <w:tcMar>
              <w:top w:type="dxa" w:w="270"/>
              <w:left w:type="dxa" w:w="270"/>
              <w:bottom w:type="dxa" w:w="270"/>
              <w:right w:type="dxa" w:w="270"/>
            </w:tcMar>
          </w:tcPr>
          <w:p>
            <w:pPr>
              <w:spacing w:after="120" w:line="384" w:lineRule="auto"/>
            </w:pPr>
            <w:r>
              <w:rPr>
                <w:rFonts w:ascii="Cambria" w:cs="Cambria" w:eastAsia="Cambria" w:hAnsi="Cambria"/>
                <w:b/>
                <w:bCs/>
                <w:i w:val="false"/>
                <w:iCs w:val="false"/>
                <w:strike w:val="false"/>
                <w:color w:val="1A1A1A"/>
                <w:sz w:val="36"/>
                <w:szCs w:val="36"/>
              </w:rPr>
              <w:t xml:space="preserve">Score global : 5 / 10 — Borderline reject / Weak accept</w:t>
            </w:r>
          </w:p>
          <w:p>
            <w:pPr>
              <w:spacing w:after="120" w:line="384" w:lineRule="auto"/>
            </w:pPr>
            <w:r>
              <w:rPr>
                <w:rFonts w:ascii="Constantia" w:cs="Constantia" w:eastAsia="Constantia" w:hAnsi="Constantia"/>
                <w:b/>
                <w:bCs/>
                <w:i w:val="false"/>
                <w:iCs w:val="false"/>
                <w:strike w:val="false"/>
                <w:color w:val="000000"/>
                <w:sz w:val="24"/>
                <w:szCs w:val="24"/>
              </w:rPr>
              <w:t xml:space="preserve">Justification :</w:t>
            </w:r>
            <w:r>
              <w:rPr>
                <w:rFonts w:ascii="Constantia" w:cs="Constantia" w:eastAsia="Constantia" w:hAnsi="Constantia"/>
                <w:b w:val="false"/>
                <w:bCs w:val="false"/>
                <w:i w:val="false"/>
                <w:iCs w:val="false"/>
                <w:strike w:val="false"/>
                <w:color w:val="000000"/>
                <w:sz w:val="24"/>
                <w:szCs w:val="24"/>
              </w:rPr>
              <w:t xml:space="preserve"> Contribution théorique ambitieuse et originale, mais absence totale de validation empirique, formalisme mathématique partiellement non-falsifiable, et intégration de cadres hétérogènes insuffisamment justifiée.</w:t>
            </w:r>
          </w:p>
          <w:p>
            <w:pPr>
              <w:spacing w:after="120" w:line="384" w:lineRule="auto"/>
            </w:pPr>
            <w:r>
              <w:rPr>
                <w:rFonts w:ascii="Constantia" w:cs="Constantia" w:eastAsia="Constantia" w:hAnsi="Constantia"/>
                <w:b/>
                <w:bCs/>
                <w:i w:val="false"/>
                <w:iCs w:val="false"/>
                <w:strike w:val="false"/>
                <w:color w:val="000000"/>
                <w:sz w:val="24"/>
                <w:szCs w:val="24"/>
              </w:rPr>
              <w:t xml:space="preserve">Recommandation :</w:t>
            </w:r>
            <w:r>
              <w:rPr>
                <w:rFonts w:ascii="Constantia" w:cs="Constantia" w:eastAsia="Constantia" w:hAnsi="Constantia"/>
                <w:b w:val="false"/>
                <w:bCs w:val="false"/>
                <w:i w:val="false"/>
                <w:iCs w:val="false"/>
                <w:strike w:val="false"/>
                <w:color w:val="000000"/>
                <w:sz w:val="24"/>
                <w:szCs w:val="24"/>
              </w:rPr>
              <w:t xml:space="preserve"> Révisions majeures requises avant soumission à une venue peer-reviewed.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FFFFF" w:color="auto" w:val="clear"/>
            <w:tcMar>
              <w:top w:type="dxa" w:w="120"/>
              <w:left w:type="dxa" w:w="240"/>
              <w:bottom w:type="dxa" w:w="120"/>
              <w:right w:type="dxa" w:w="240"/>
            </w:tcMar>
          </w:tcPr>
          <w:p>
            <w:pPr>
              <w:spacing w:after="120" w:line="408" w:lineRule="auto"/>
            </w:pPr>
            <w:r>
              <w:rPr>
                <w:i/>
                <w:iCs/>
              </w:rPr>
              <w:t xml:space="preserve">« Un cadre théorique riche mais qui survole trop de domaines sans en maîtriser aucun en profondeur, et dont les formalismes restent des métaphores mathématiques plutôt que des modèles opérationnels testables. »</w:t>
            </w:r>
          </w:p>
        </w:tc>
      </w:tr>
    </w:tbl>
    <w:p>
      <w:pPr>
        <w:spacing w:after="240" w:before="0"/>
      </w:pPr>
    </w:p>
    <w:p>
      <w:pPr>
        <w:pStyle w:val="Heading3"/>
        <w:spacing w:after="120" w:before="240" w:line="312" w:lineRule="auto"/>
      </w:pPr>
      <w:r>
        <w:rPr>
          <w:rFonts w:ascii="Cambria" w:cs="Cambria" w:eastAsia="Cambria" w:hAnsi="Cambria"/>
          <w:color w:val="1A1A1A"/>
          <w:sz w:val="28"/>
          <w:szCs w:val="28"/>
        </w:rPr>
        <w:t xml:space="preserve">Grille de notation structurée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9%"/>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Critère</w:t>
            </w:r>
          </w:p>
        </w:tc>
        <w:tc>
          <w:tcPr>
            <w:tcW w:type="pct" w:w="11%"/>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Score</w:t>
            </w:r>
          </w:p>
        </w:tc>
        <w:tc>
          <w:tcPr>
            <w:tcW w:type="pct" w:w="70%"/>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Commentaire</w:t>
            </w:r>
          </w:p>
        </w:tc>
      </w:tr>
      <w:tr>
        <w:trPr>
          <w:tblHeader w:val="false"/>
        </w:trPr>
        <w:tc>
          <w:tcPr>
            <w:tcW w:type="pct" w:w="19%"/>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Originalité</w:t>
            </w:r>
          </w:p>
        </w:tc>
        <w:tc>
          <w:tcPr>
            <w:tcW w:type="pct" w:w="1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7 / 10</w:t>
            </w:r>
          </w:p>
        </w:tc>
        <w:tc>
          <w:tcPr>
            <w:tcW w:type="pct" w:w="7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L'intégration de la charge cognitive, de la métacognition IA et d'un cadre formel propriétaire est nouvelle. Peu de travaux tentent cette fusion.</w:t>
            </w:r>
          </w:p>
        </w:tc>
      </w:tr>
      <w:tr>
        <w:trPr>
          <w:tblHeader w:val="false"/>
        </w:trPr>
        <w:tc>
          <w:tcPr>
            <w:tcW w:type="pct" w:w="19%"/>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Rigueur méthodologique</w:t>
            </w:r>
          </w:p>
        </w:tc>
        <w:tc>
          <w:tcPr>
            <w:tcW w:type="pct" w:w="1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3 / 10</w:t>
            </w:r>
          </w:p>
        </w:tc>
        <w:tc>
          <w:tcPr>
            <w:tcW w:type="pct" w:w="7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Aucune validation empirique, aucun protocole expérimental, aucune baseline. Lacune bloquante.</w:t>
            </w:r>
          </w:p>
        </w:tc>
      </w:tr>
      <w:tr>
        <w:trPr>
          <w:tblHeader w:val="false"/>
        </w:trPr>
        <w:tc>
          <w:tcPr>
            <w:tcW w:type="pct" w:w="19%"/>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Clarté de l'écriture</w:t>
            </w:r>
          </w:p>
        </w:tc>
        <w:tc>
          <w:tcPr>
            <w:tcW w:type="pct" w:w="1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7 / 10</w:t>
            </w:r>
          </w:p>
        </w:tc>
        <w:tc>
          <w:tcPr>
            <w:tcW w:type="pct" w:w="7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Bien structuré, schémas utiles, terminologie cohérente. Lisible par un non-spécialiste.</w:t>
            </w:r>
          </w:p>
        </w:tc>
      </w:tr>
      <w:tr>
        <w:trPr>
          <w:tblHeader w:val="false"/>
        </w:trPr>
        <w:tc>
          <w:tcPr>
            <w:tcW w:type="pct" w:w="19%"/>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Solidité théorique</w:t>
            </w:r>
          </w:p>
        </w:tc>
        <w:tc>
          <w:tcPr>
            <w:tcW w:type="pct" w:w="1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4 / 10</w:t>
            </w:r>
          </w:p>
        </w:tc>
        <w:tc>
          <w:tcPr>
            <w:tcW w:type="pct" w:w="7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Formalismes séduisants mais partiellement tautologiques et non-falsifiables.</w:t>
            </w:r>
          </w:p>
        </w:tc>
      </w:tr>
      <w:tr>
        <w:trPr>
          <w:tblHeader w:val="false"/>
        </w:trPr>
        <w:tc>
          <w:tcPr>
            <w:tcW w:type="pct" w:w="19%"/>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Reproductibilité</w:t>
            </w:r>
          </w:p>
        </w:tc>
        <w:tc>
          <w:tcPr>
            <w:tcW w:type="pct" w:w="1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2 / 10</w:t>
            </w:r>
          </w:p>
        </w:tc>
        <w:tc>
          <w:tcPr>
            <w:tcW w:type="pct" w:w="7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Impossible de reproduire quoi que ce soit sans implémentation ni code source.</w:t>
            </w:r>
          </w:p>
        </w:tc>
      </w:tr>
      <w:tr>
        <w:trPr>
          <w:tblHeader w:val="false"/>
        </w:trPr>
        <w:tc>
          <w:tcPr>
            <w:tcW w:type="pct" w:w="19%"/>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Impact potentiel</w:t>
            </w:r>
          </w:p>
        </w:tc>
        <w:tc>
          <w:tcPr>
            <w:tcW w:type="pct" w:w="1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6 / 10</w:t>
            </w:r>
          </w:p>
        </w:tc>
        <w:tc>
          <w:tcPr>
            <w:tcW w:type="pct" w:w="7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Fort si validé empiriquement, mais en l'état c'est une promesse non tenue.</w:t>
            </w:r>
          </w:p>
        </w:tc>
      </w:tr>
      <w:tr>
        <w:trPr>
          <w:tblHeader w:val="false"/>
        </w:trPr>
        <w:tc>
          <w:tcPr>
            <w:tcW w:type="pct" w:w="19%"/>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Positionnement littérature</w:t>
            </w:r>
          </w:p>
        </w:tc>
        <w:tc>
          <w:tcPr>
            <w:tcW w:type="pct" w:w="1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4 / 10</w:t>
            </w:r>
          </w:p>
        </w:tc>
        <w:tc>
          <w:tcPr>
            <w:tcW w:type="pct" w:w="7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Revue partielle, absences critiques dans les trois domaines mobilisés.</w:t>
            </w:r>
          </w:p>
        </w:tc>
      </w:tr>
    </w:tbl>
    <w:p>
      <w:pPr>
        <w:spacing w:after="200" w:before="0"/>
      </w:pPr>
    </w:p>
    <w:p>
      <w:pPr>
        <w:pStyle w:val="Heading1"/>
        <w:spacing w:after="120" w:before="480" w:line="312" w:lineRule="auto"/>
      </w:pPr>
      <w:r>
        <w:rPr>
          <w:rFonts w:ascii="Cambria" w:cs="Cambria" w:eastAsia="Cambria" w:hAnsi="Cambria"/>
          <w:color w:val="1A1A1A"/>
          <w:sz w:val="48"/>
          <w:szCs w:val="48"/>
        </w:rPr>
        <w:t xml:space="preserve">Section 1 — Forces reconnues</w:t>
      </w:r>
    </w:p>
    <w:p>
      <w:pPr>
        <w:pStyle w:val="Heading2"/>
        <w:spacing w:after="120" w:before="360" w:line="312" w:lineRule="auto"/>
      </w:pPr>
      <w:r>
        <w:rPr>
          <w:rFonts w:ascii="Cambria" w:cs="Cambria" w:eastAsia="Cambria" w:hAnsi="Cambria"/>
          <w:color w:val="1A1A1A"/>
          <w:sz w:val="36"/>
          <w:szCs w:val="36"/>
        </w:rPr>
        <w:t xml:space="preserve">1.1 Ambition et vision unificatrice</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Le rapport tente de fusionner quatre domaines — intelligence artificielle, sciences cognitives, éducation et systèmes dynamiques — dans un cadre formel unique. Cette ambition est louable et rare. La plupart des travaux dans l'IA éducative restent cloisonnés dans un seul domaine : les informaticiens optimisent des architectures sans comprendre la cognition, les pédagogues théorisent sans implémenter, les psychologues cognitifs publient des modèles que personne n'intègre dans des systèmes réels.</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La tentative de créer un « agent apprenant » qui navigue dans un espace de connaissances comme un organisme vivant est une métaphore puissante. Elle capture une intuition fondamentale : l'apprentissage n'est pas un transfert passif d'information, c'est une navigation active dans un espace complexe. Cette vision, si elle était formalisée et validée, pourrait constituer une contribution significative à la communauté AIED (Artificial Intelligence in Education).</w:t>
      </w:r>
    </w:p>
    <w:p>
      <w:pPr>
        <w:pStyle w:val="Heading2"/>
        <w:spacing w:after="120" w:before="360" w:line="312" w:lineRule="auto"/>
      </w:pPr>
      <w:r>
        <w:rPr>
          <w:rFonts w:ascii="Cambria" w:cs="Cambria" w:eastAsia="Cambria" w:hAnsi="Cambria"/>
          <w:color w:val="1A1A1A"/>
          <w:sz w:val="36"/>
          <w:szCs w:val="36"/>
        </w:rPr>
        <w:t xml:space="preserve">1.2 Cohérence interne du cadre Blueprint</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Le cadre Blueprint C0–C4, bien qu'auto-référentiel, présente une cohérence interne remarquable. Les couches sont bien délimitées, les invariants sont clairement énoncés, et la hiérarchie (invariants → opérateurs → boucles → navigation → extensions) est logique. L'architecture en couches rappelle des cadres reconnus comme MAPE-K (IBM) pour les systèmes autonomiques ou le modèle OSI pour les réseaux — cette analogie structurelle est un point fort.</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La numérotation systématique des composants (29 invariants, garde-fous catégorisés par domaine) témoigne d'un effort de rigueur organisationnelle qui est appréciable, même si la prolifération des composants soulève des questions de parcimonie (cf. Section 3).</w:t>
      </w:r>
    </w:p>
    <w:p>
      <w:pPr>
        <w:pStyle w:val="Heading2"/>
        <w:spacing w:after="120" w:before="360" w:line="312" w:lineRule="auto"/>
      </w:pPr>
      <w:r>
        <w:rPr>
          <w:rFonts w:ascii="Cambria" w:cs="Cambria" w:eastAsia="Cambria" w:hAnsi="Cambria"/>
          <w:color w:val="1A1A1A"/>
          <w:sz w:val="36"/>
          <w:szCs w:val="36"/>
        </w:rPr>
        <w:t xml:space="preserve">1.3 Schémas textuels et lisibilité</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Les schémas Unicode sont clairs, informatifs et aident à la compréhension. Ils compensent partiellement l'absence de formalismes visuels standards (diagrammes UML, flowcharts, etc.). La numérotation hiérarchique est bien gérée. Le rapport est lisible par un non-spécialiste, ce qui est un atout pour un travail interdisciplinaire. La rédaction est fluide et le vocabulaire technique est généralement utilisé de manière appropriée.</w:t>
      </w:r>
    </w:p>
    <w:p>
      <w:pPr>
        <w:pStyle w:val="Heading2"/>
        <w:spacing w:after="120" w:before="360" w:line="312" w:lineRule="auto"/>
      </w:pPr>
      <w:r>
        <w:rPr>
          <w:rFonts w:ascii="Cambria" w:cs="Cambria" w:eastAsia="Cambria" w:hAnsi="Cambria"/>
          <w:color w:val="1A1A1A"/>
          <w:sz w:val="36"/>
          <w:szCs w:val="36"/>
        </w:rPr>
        <w:t xml:space="preserve">1.4 Prise en compte de l'éthique</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L'introduction de ϟP comme métrique de qualité (présence plutôt que temps d'écran) est une position éthique forte et pertinente dans le contexte actuel de l'EdTech. Alors que la majorité des plateformes éducatives optimisent pour l'engagement (temps passé, nombre de clics, streaks), le choix explicite d'optimiser pour la </w:t>
      </w:r>
      <w:r>
        <w:rPr>
          <w:rFonts w:ascii="Constantia" w:cs="Constantia" w:eastAsia="Constantia" w:hAnsi="Constantia"/>
          <w:b w:val="false"/>
          <w:bCs w:val="false"/>
          <w:i/>
          <w:iCs/>
          <w:strike w:val="false"/>
          <w:color w:val="000000"/>
          <w:sz w:val="24"/>
          <w:szCs w:val="24"/>
        </w:rPr>
        <w:t xml:space="preserve">qualité de la présence cognitive</w:t>
      </w:r>
      <w:r>
        <w:rPr>
          <w:rFonts w:ascii="Constantia" w:cs="Constantia" w:eastAsia="Constantia" w:hAnsi="Constantia"/>
          <w:b w:val="false"/>
          <w:bCs w:val="false"/>
          <w:i w:val="false"/>
          <w:iCs w:val="false"/>
          <w:strike w:val="false"/>
          <w:color w:val="000000"/>
          <w:sz w:val="24"/>
          <w:szCs w:val="24"/>
        </w:rPr>
        <w:t xml:space="preserve"> est un positionnement différenciateur et éthiquement défendable.</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Le principe « un bon système éducatif ne surcharge pas, il stabilise » est un invariant éthique qui pourrait servir de fondement à une charte de design pour l'EdTech responsable. Ce principe, s'il était opérationnalisé et validé, pourrait avoir un impact au-delà du cadre Blueprint.</w:t>
      </w:r>
    </w:p>
    <w:p>
      <w:pPr>
        <w:pStyle w:val="Heading1"/>
        <w:spacing w:after="120" w:before="480" w:line="312" w:lineRule="auto"/>
      </w:pPr>
      <w:r>
        <w:rPr>
          <w:rFonts w:ascii="Cambria" w:cs="Cambria" w:eastAsia="Cambria" w:hAnsi="Cambria"/>
          <w:color w:val="1A1A1A"/>
          <w:sz w:val="48"/>
          <w:szCs w:val="48"/>
        </w:rPr>
        <w:t xml:space="preserve">Section 2 — Critiques méthodologiques majeures</w:t>
      </w:r>
    </w:p>
    <w:p>
      <w:pPr>
        <w:pStyle w:val="Heading2"/>
        <w:spacing w:after="120" w:before="360" w:line="312" w:lineRule="auto"/>
      </w:pPr>
      <w:r>
        <w:rPr>
          <w:rFonts w:ascii="Cambria" w:cs="Cambria" w:eastAsia="Cambria" w:hAnsi="Cambria"/>
          <w:color w:val="1A1A1A"/>
          <w:sz w:val="36"/>
          <w:szCs w:val="36"/>
        </w:rPr>
        <w:t xml:space="preserve">2.1 CRITIQUE #1 — Absence totale de validation empirique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180"/>
              <w:bottom w:type="dxa" w:w="180"/>
              <w:right w:type="dxa" w:w="180"/>
            </w:tcMar>
          </w:tcPr>
          <w:p>
            <w:pPr>
              <w:spacing w:after="60" w:line="384" w:lineRule="auto"/>
            </w:pPr>
            <w:r>
              <w:rPr>
                <w:rFonts w:ascii="Constantia" w:cs="Constantia" w:eastAsia="Constantia" w:hAnsi="Constantia"/>
                <w:b/>
                <w:bCs/>
                <w:i w:val="false"/>
                <w:iCs w:val="false"/>
                <w:strike w:val="false"/>
                <w:color w:val="000000"/>
                <w:sz w:val="24"/>
                <w:szCs w:val="24"/>
              </w:rPr>
              <w:t xml:space="preserve">Niveau de sévérité : CRITIQUE (bloquant)</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Cette lacune constitue à elle seule un motif de rejet dans toute venue peer-reviewed de premier plan.</w:t>
            </w:r>
          </w:p>
        </w:tc>
      </w:tr>
    </w:tbl>
    <w:p>
      <w:pPr>
        <w:spacing w:after="240" w:before="0"/>
      </w:pP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Le rapport est entièrement théorique. Aucune expérience, aucun prototype, aucune simulation, aucun dataset, aucune baseline, aucune métrique mesurée. Dans le paysage actuel de la recherche en IA, un article purement conceptuel sans aucune validation empirique est extrêmement difficile à publier dans une venue de premier plan. Même les frameworks théoriques les plus influents — MAPE-K (Kephart &amp; Chess, 2003), la Cognitive Load Theory (Sweller, 1988), la taxonomie de Bloom (1956) — ont été accompagnés ou suivis de validations empiriques substantielles.</w:t>
      </w:r>
    </w:p>
    <w:p>
      <w:pPr>
        <w:spacing w:after="120" w:before="60" w:line="384" w:lineRule="auto"/>
      </w:pPr>
      <w:r>
        <w:rPr>
          <w:rFonts w:ascii="Constantia" w:cs="Constantia" w:eastAsia="Constantia" w:hAnsi="Constantia"/>
          <w:b/>
          <w:bCs/>
          <w:i w:val="false"/>
          <w:iCs w:val="false"/>
          <w:strike w:val="false"/>
          <w:color w:val="000000"/>
          <w:sz w:val="24"/>
          <w:szCs w:val="24"/>
        </w:rPr>
        <w:t xml:space="preserve">Référence critique :</w:t>
      </w:r>
      <w:r>
        <w:rPr>
          <w:rFonts w:ascii="Constantia" w:cs="Constantia" w:eastAsia="Constantia" w:hAnsi="Constantia"/>
          <w:b w:val="false"/>
          <w:bCs w:val="false"/>
          <w:i w:val="false"/>
          <w:iCs w:val="false"/>
          <w:strike w:val="false"/>
          <w:color w:val="000000"/>
          <w:sz w:val="24"/>
          <w:szCs w:val="24"/>
        </w:rPr>
        <w:t xml:space="preserve"> Jaakkola (2020, </w:t>
      </w:r>
      <w:r>
        <w:rPr>
          <w:rFonts w:ascii="Constantia" w:cs="Constantia" w:eastAsia="Constantia" w:hAnsi="Constantia"/>
          <w:b w:val="false"/>
          <w:bCs w:val="false"/>
          <w:i/>
          <w:iCs/>
          <w:strike w:val="false"/>
          <w:color w:val="000000"/>
          <w:sz w:val="24"/>
          <w:szCs w:val="24"/>
        </w:rPr>
        <w:t xml:space="preserve">AMS Review</w:t>
      </w:r>
      <w:r>
        <w:rPr>
          <w:rFonts w:ascii="Constantia" w:cs="Constantia" w:eastAsia="Constantia" w:hAnsi="Constantia"/>
          <w:b w:val="false"/>
          <w:bCs w:val="false"/>
          <w:i w:val="false"/>
          <w:iCs w:val="false"/>
          <w:strike w:val="false"/>
          <w:color w:val="000000"/>
          <w:sz w:val="24"/>
          <w:szCs w:val="24"/>
        </w:rPr>
        <w:t xml:space="preserve">) montre que les articles conceptuels sont acceptables dans la recherche académique s'ils suivent un template rigoureux : Theory Synthesis, Theory Adaptation, Typology, ou Model — chacun avec une contribution théorique claire et une méthodologie explicite de construction théorique. Le rapport de Maisonneuve ne suit aucun de ces templates. Il mélange adaptation théorique (emprunt de la CLT), synthèse (fusion de domaines) et création de modèle (Blueprint) sans expliciter sa méthodologie de construction conceptuelle.</w:t>
      </w:r>
    </w:p>
    <w:p>
      <w:pPr>
        <w:spacing w:after="120" w:before="60" w:line="384" w:lineRule="auto"/>
      </w:pPr>
      <w:r>
        <w:rPr>
          <w:rFonts w:ascii="Constantia" w:cs="Constantia" w:eastAsia="Constantia" w:hAnsi="Constantia"/>
          <w:b/>
          <w:bCs/>
          <w:i w:val="false"/>
          <w:iCs w:val="false"/>
          <w:strike w:val="false"/>
          <w:color w:val="000000"/>
          <w:sz w:val="24"/>
          <w:szCs w:val="24"/>
        </w:rPr>
        <w:t xml:space="preserve">Impact :</w:t>
      </w:r>
      <w:r>
        <w:rPr>
          <w:rFonts w:ascii="Constantia" w:cs="Constantia" w:eastAsia="Constantia" w:hAnsi="Constantia"/>
          <w:b w:val="false"/>
          <w:bCs w:val="false"/>
          <w:i w:val="false"/>
          <w:iCs w:val="false"/>
          <w:strike w:val="false"/>
          <w:color w:val="000000"/>
          <w:sz w:val="24"/>
          <w:szCs w:val="24"/>
        </w:rPr>
        <w:t xml:space="preserve"> Un reviewer de NeurIPS ou ICLR rejetterait probablement le papier sur ce seul critère. Le standard actuel dans la communauté ML exige au minimum : (a) une preuve de concept implémentée, (b) des études d'ablation, (c) une comparaison avec des baselines établies. La communauté AIED est marginalement plus tolérante envers les travaux conceptuels, mais exige néanmoins au moins un prototype fonctionnel ou une étude pilote.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84" w:lineRule="auto"/>
            </w:pPr>
            <w:r>
              <w:rPr>
                <w:rFonts w:ascii="Constantia" w:cs="Constantia" w:eastAsia="Constantia" w:hAnsi="Constantia"/>
                <w:b/>
                <w:bCs/>
                <w:i w:val="false"/>
                <w:iCs w:val="false"/>
                <w:strike w:val="false"/>
                <w:color w:val="000000"/>
                <w:sz w:val="24"/>
                <w:szCs w:val="24"/>
              </w:rPr>
              <w:t xml:space="preserve">Recommandation R1</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Implémenter un prototype minimal de la boucle ϟP scolaire, même dans un environnement simulé (ex. un environnement Gymnasium/PettingZoo avec un curriculum synthétique et un apprenant simulé). Démontrer empiriquement que la régulation de charge améliore les métriques d'apprentissage par rapport à (a) un curriculum fixe, (b) un curriculum adaptatif standard (DKT + politique RL), et (c) un tuteur adaptatif basé sur la CLT classique.</w:t>
            </w:r>
          </w:p>
        </w:tc>
      </w:tr>
    </w:tbl>
    <w:p>
      <w:pPr>
        <w:spacing w:after="240" w:before="0"/>
      </w:pPr>
    </w:p>
    <w:p>
      <w:pPr>
        <w:pStyle w:val="Heading2"/>
        <w:spacing w:after="120" w:before="360" w:line="312" w:lineRule="auto"/>
      </w:pPr>
      <w:r>
        <w:rPr>
          <w:rFonts w:ascii="Cambria" w:cs="Cambria" w:eastAsia="Cambria" w:hAnsi="Cambria"/>
          <w:color w:val="1A1A1A"/>
          <w:sz w:val="36"/>
          <w:szCs w:val="36"/>
        </w:rPr>
        <w:t xml:space="preserve">2.2 CRITIQUE #2 — Formalismes mathématiques partiellement non-falsifiables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60" w:line="384" w:lineRule="auto"/>
            </w:pPr>
            <w:r>
              <w:rPr>
                <w:rFonts w:ascii="Constantia" w:cs="Constantia" w:eastAsia="Constantia" w:hAnsi="Constantia"/>
                <w:b/>
                <w:bCs/>
                <w:i w:val="false"/>
                <w:iCs w:val="false"/>
                <w:strike w:val="false"/>
                <w:color w:val="000000"/>
                <w:sz w:val="24"/>
                <w:szCs w:val="24"/>
              </w:rPr>
              <w:t xml:space="preserve">Niveau de sévérité : MAJEUR</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Plusieurs formalismes présentés ont une apparence mathématique rigoureuse mais sont en réalité des métaphores habillées d'équations.</w:t>
            </w:r>
          </w:p>
        </w:tc>
      </w:tr>
    </w:tbl>
    <w:p>
      <w:pPr>
        <w:spacing w:after="240" w:before="0"/>
      </w:pPr>
    </w:p>
    <w:p>
      <w:pPr>
        <w:pStyle w:val="Heading3"/>
        <w:spacing w:after="120" w:before="240" w:line="312" w:lineRule="auto"/>
      </w:pPr>
      <w:r>
        <w:rPr>
          <w:rFonts w:ascii="Cambria" w:cs="Cambria" w:eastAsia="Cambria" w:hAnsi="Cambria"/>
          <w:color w:val="1A1A1A"/>
          <w:sz w:val="28"/>
          <w:szCs w:val="28"/>
        </w:rPr>
        <w:t xml:space="preserve">a) L'équation ϟP(t) = P(t) · H(t) · e−αC(t)</w:t>
      </w:r>
    </w:p>
    <w:p>
      <w:pPr>
        <w:spacing w:after="120" w:before="60" w:line="384" w:lineRule="auto"/>
      </w:pPr>
      <w:r>
        <w:rPr>
          <w:rFonts w:ascii="Constantia" w:cs="Constantia" w:eastAsia="Constantia" w:hAnsi="Constantia"/>
          <w:b/>
          <w:bCs/>
          <w:i w:val="false"/>
          <w:iCs w:val="false"/>
          <w:strike w:val="false"/>
          <w:color w:val="000000"/>
          <w:sz w:val="24"/>
          <w:szCs w:val="24"/>
        </w:rPr>
        <w:t xml:space="preserve">Problème :</w:t>
      </w:r>
      <w:r>
        <w:rPr>
          <w:rFonts w:ascii="Constantia" w:cs="Constantia" w:eastAsia="Constantia" w:hAnsi="Constantia"/>
          <w:b w:val="false"/>
          <w:bCs w:val="false"/>
          <w:i w:val="false"/>
          <w:iCs w:val="false"/>
          <w:strike w:val="false"/>
          <w:color w:val="000000"/>
          <w:sz w:val="24"/>
          <w:szCs w:val="24"/>
        </w:rPr>
        <w:t xml:space="preserve"> Comment mesure-t-on P(t) (présence attentionnelle) ? Quelle est l'unité ? Quel capteur ? Comment mesure-t-on H(t) (connexion pédagogique) ? Le paramètre α est-il constant ? Individuel ? Comment le calibre-t-on ? L'exponentielle décroissante est-elle justifiée empiriquement ou choisie pour son élégance mathématique ?</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En l'état, cette équation est </w:t>
      </w:r>
      <w:r>
        <w:rPr>
          <w:rFonts w:ascii="Constantia" w:cs="Constantia" w:eastAsia="Constantia" w:hAnsi="Constantia"/>
          <w:b/>
          <w:bCs/>
          <w:i w:val="false"/>
          <w:iCs w:val="false"/>
          <w:strike w:val="false"/>
          <w:color w:val="000000"/>
          <w:sz w:val="24"/>
          <w:szCs w:val="24"/>
        </w:rPr>
        <w:t xml:space="preserve">non-falsifiable</w:t>
      </w:r>
      <w:r>
        <w:rPr>
          <w:rFonts w:ascii="Constantia" w:cs="Constantia" w:eastAsia="Constantia" w:hAnsi="Constantia"/>
          <w:b w:val="false"/>
          <w:bCs w:val="false"/>
          <w:i w:val="false"/>
          <w:iCs w:val="false"/>
          <w:strike w:val="false"/>
          <w:color w:val="000000"/>
          <w:sz w:val="24"/>
          <w:szCs w:val="24"/>
        </w:rPr>
        <w:t xml:space="preserve"> : quels résultats empiriques la contrediraient ? Si P, H et C ne sont pas opérationnalisés — c'est-à-dire définis en termes de variables observables et mesurables — l'équation est une tautologie élégante mais vide. On peut toujours ajuster rétrospectivement les valeurs de P, H et C pour que l'équation « fonctionne », ce qui la rend infalsifiable au sens poppérien.</w:t>
      </w:r>
    </w:p>
    <w:p>
      <w:pPr>
        <w:pStyle w:val="Heading3"/>
        <w:spacing w:after="120" w:before="240" w:line="312" w:lineRule="auto"/>
      </w:pPr>
      <w:r>
        <w:rPr>
          <w:rFonts w:ascii="Cambria" w:cs="Cambria" w:eastAsia="Cambria" w:hAnsi="Cambria"/>
          <w:color w:val="1A1A1A"/>
          <w:sz w:val="28"/>
          <w:szCs w:val="28"/>
        </w:rPr>
        <w:t xml:space="preserve">b) L'attracteur A₀ = argmaxA T(A)</w:t>
      </w:r>
    </w:p>
    <w:p>
      <w:pPr>
        <w:spacing w:after="120" w:before="60" w:line="384" w:lineRule="auto"/>
      </w:pPr>
      <w:r>
        <w:rPr>
          <w:rFonts w:ascii="Constantia" w:cs="Constantia" w:eastAsia="Constantia" w:hAnsi="Constantia"/>
          <w:b/>
          <w:bCs/>
          <w:i w:val="false"/>
          <w:iCs w:val="false"/>
          <w:strike w:val="false"/>
          <w:color w:val="000000"/>
          <w:sz w:val="24"/>
          <w:szCs w:val="24"/>
        </w:rPr>
        <w:t xml:space="preserve">Problème :</w:t>
      </w:r>
      <w:r>
        <w:rPr>
          <w:rFonts w:ascii="Constantia" w:cs="Constantia" w:eastAsia="Constantia" w:hAnsi="Constantia"/>
          <w:b w:val="false"/>
          <w:bCs w:val="false"/>
          <w:i w:val="false"/>
          <w:iCs w:val="false"/>
          <w:strike w:val="false"/>
          <w:color w:val="000000"/>
          <w:sz w:val="24"/>
          <w:szCs w:val="24"/>
        </w:rPr>
        <w:t xml:space="preserve"> Cette définition est circulaire dans le contexte scolaire. Elle dit que la passion de l'élève est le sujet vers lequel il revient le plus. C'est une observation rétrospective, pas un outil prédictif. Comment identifie-t-on A₀ </w:t>
      </w:r>
      <w:r>
        <w:rPr>
          <w:rFonts w:ascii="Constantia" w:cs="Constantia" w:eastAsia="Constantia" w:hAnsi="Constantia"/>
          <w:b w:val="false"/>
          <w:bCs w:val="false"/>
          <w:i/>
          <w:iCs/>
          <w:strike w:val="false"/>
          <w:color w:val="000000"/>
          <w:sz w:val="24"/>
          <w:szCs w:val="24"/>
        </w:rPr>
        <w:t xml:space="preserve">a priori</w:t>
      </w:r>
      <w:r>
        <w:rPr>
          <w:rFonts w:ascii="Constantia" w:cs="Constantia" w:eastAsia="Constantia" w:hAnsi="Constantia"/>
          <w:b w:val="false"/>
          <w:bCs w:val="false"/>
          <w:i w:val="false"/>
          <w:iCs w:val="false"/>
          <w:strike w:val="false"/>
          <w:color w:val="000000"/>
          <w:sz w:val="24"/>
          <w:szCs w:val="24"/>
        </w:rPr>
        <w:t xml:space="preserve"> ? Comment l'utilise-t-on pour guider le curriculum si on ne peut le calculer qu'après coup ? Un attracteur, en théorie des systèmes dynamiques, a une définition mathématique précise (point fixe, cycle limite, attracteur étrange) — aucune de ces définitions n'est exploitée ici. Le terme est utilisé métaphoriquement, pas techniquement.</w:t>
      </w:r>
    </w:p>
    <w:p>
      <w:pPr>
        <w:pStyle w:val="Heading3"/>
        <w:spacing w:after="120" w:before="240" w:line="312" w:lineRule="auto"/>
      </w:pPr>
      <w:r>
        <w:rPr>
          <w:rFonts w:ascii="Cambria" w:cs="Cambria" w:eastAsia="Cambria" w:hAnsi="Cambria"/>
          <w:color w:val="1A1A1A"/>
          <w:sz w:val="28"/>
          <w:szCs w:val="28"/>
        </w:rPr>
        <w:t xml:space="preserve">c) Le curriculum comme corridor : C(t) = {leçoni : d(état_actuel, leçoni) &lt; ε ∧ d(leçoni, g*) &lt; d(état_actuel, g*)}</w:t>
      </w:r>
    </w:p>
    <w:p>
      <w:pPr>
        <w:spacing w:after="120" w:before="60" w:line="384" w:lineRule="auto"/>
      </w:pPr>
      <w:r>
        <w:rPr>
          <w:rFonts w:ascii="Constantia" w:cs="Constantia" w:eastAsia="Constantia" w:hAnsi="Constantia"/>
          <w:b/>
          <w:bCs/>
          <w:i w:val="false"/>
          <w:iCs w:val="false"/>
          <w:strike w:val="false"/>
          <w:color w:val="000000"/>
          <w:sz w:val="24"/>
          <w:szCs w:val="24"/>
        </w:rPr>
        <w:t xml:space="preserve">Problème :</w:t>
      </w:r>
      <w:r>
        <w:rPr>
          <w:rFonts w:ascii="Constantia" w:cs="Constantia" w:eastAsia="Constantia" w:hAnsi="Constantia"/>
          <w:b w:val="false"/>
          <w:bCs w:val="false"/>
          <w:i w:val="false"/>
          <w:iCs w:val="false"/>
          <w:strike w:val="false"/>
          <w:color w:val="000000"/>
          <w:sz w:val="24"/>
          <w:szCs w:val="24"/>
        </w:rPr>
        <w:t xml:space="preserve"> La fonction de distance d(·,·) n'est pas définie. La distance entre un « état actuel » de connaissances et une « leçon » dépend de la représentation choisie — qui n'est pas spécifiée. Dans quel espace vectoriel ces objets vivent-ils ? Quelle métrique ? Euclidienne ? Cosinus ? Basée sur un graphe de connaissances ? Le seuil ε n'est pas défini. Ce formalisme est un habillage mathématique d'une intuition (ne proposer que des leçons accessibles et utiles) qui ne peut pas être implémenté tel quel.</w:t>
      </w:r>
    </w:p>
    <w:p>
      <w:pPr>
        <w:spacing w:after="120" w:before="60" w:line="384" w:lineRule="auto"/>
      </w:pPr>
      <w:r>
        <w:rPr>
          <w:rFonts w:ascii="Constantia" w:cs="Constantia" w:eastAsia="Constantia" w:hAnsi="Constantia"/>
          <w:b/>
          <w:bCs/>
          <w:i w:val="false"/>
          <w:iCs w:val="false"/>
          <w:strike w:val="false"/>
          <w:color w:val="000000"/>
          <w:sz w:val="24"/>
          <w:szCs w:val="24"/>
        </w:rPr>
        <w:t xml:space="preserve">Référence critique :</w:t>
      </w:r>
      <w:r>
        <w:rPr>
          <w:rFonts w:ascii="Constantia" w:cs="Constantia" w:eastAsia="Constantia" w:hAnsi="Constantia"/>
          <w:b w:val="false"/>
          <w:bCs w:val="false"/>
          <w:i w:val="false"/>
          <w:iCs w:val="false"/>
          <w:strike w:val="false"/>
          <w:color w:val="000000"/>
          <w:sz w:val="24"/>
          <w:szCs w:val="24"/>
        </w:rPr>
        <w:t xml:space="preserve"> Ganiev et al. (AIP Conference Proceedings, 2026) identifient exactement ce problème dans leur revue : « a fragmented approach to managing cognitive load in AI-driven educational tools, often neglecting the dynamic nature of mental processing. » Le rapport de Maisonneuve reconnaît cette dynamique mais ne résout pas le problème fondamental de la mesure.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84" w:lineRule="auto"/>
            </w:pPr>
            <w:r>
              <w:rPr>
                <w:rFonts w:ascii="Constantia" w:cs="Constantia" w:eastAsia="Constantia" w:hAnsi="Constantia"/>
                <w:b/>
                <w:bCs/>
                <w:i w:val="false"/>
                <w:iCs w:val="false"/>
                <w:strike w:val="false"/>
                <w:color w:val="000000"/>
                <w:sz w:val="24"/>
                <w:szCs w:val="24"/>
              </w:rPr>
              <w:t xml:space="preserve">Recommandation R2</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Pour chaque formalisme, fournir : (a) une opérationnalisation claire (quelles variables observables correspondent à P, H, C ?), (b) un protocole de mesure reproductible, (c) des prédictions falsifiables dérivées du modèle, (d) des cas limites où le modèle échoue ou produit des prédictions contre-intuitives.</w:t>
            </w:r>
          </w:p>
        </w:tc>
      </w:tr>
    </w:tbl>
    <w:p>
      <w:pPr>
        <w:spacing w:after="240" w:before="0"/>
      </w:pPr>
    </w:p>
    <w:p>
      <w:pPr>
        <w:pStyle w:val="Heading2"/>
        <w:spacing w:after="120" w:before="360" w:line="312" w:lineRule="auto"/>
      </w:pPr>
      <w:r>
        <w:rPr>
          <w:rFonts w:ascii="Cambria" w:cs="Cambria" w:eastAsia="Cambria" w:hAnsi="Cambria"/>
          <w:color w:val="1A1A1A"/>
          <w:sz w:val="36"/>
          <w:szCs w:val="36"/>
        </w:rPr>
        <w:t xml:space="preserve">2.3 CRITIQUE #3 — Revue de littérature incomplète et sélective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60" w:line="384" w:lineRule="auto"/>
            </w:pPr>
            <w:r>
              <w:rPr>
                <w:rFonts w:ascii="Constantia" w:cs="Constantia" w:eastAsia="Constantia" w:hAnsi="Constantia"/>
                <w:b/>
                <w:bCs/>
                <w:i w:val="false"/>
                <w:iCs w:val="false"/>
                <w:strike w:val="false"/>
                <w:color w:val="000000"/>
                <w:sz w:val="24"/>
                <w:szCs w:val="24"/>
              </w:rPr>
              <w:t xml:space="preserve">Niveau de sévérité : MAJEUR</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La revue de littérature présente des absences significatives dans les trois domaines mobilisés par le rapport.</w:t>
            </w:r>
          </w:p>
        </w:tc>
      </w:tr>
    </w:tbl>
    <w:p>
      <w:pPr>
        <w:spacing w:after="240" w:before="0"/>
      </w:pPr>
    </w:p>
    <w:p>
      <w:pPr>
        <w:pStyle w:val="Heading3"/>
        <w:spacing w:after="120" w:before="240" w:line="312" w:lineRule="auto"/>
      </w:pPr>
      <w:r>
        <w:rPr>
          <w:rFonts w:ascii="Cambria" w:cs="Cambria" w:eastAsia="Cambria" w:hAnsi="Cambria"/>
          <w:color w:val="1A1A1A"/>
          <w:sz w:val="28"/>
          <w:szCs w:val="28"/>
        </w:rPr>
        <w:t xml:space="preserve">a) Absences critiques en IA éducative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Knowledge Tracing</w:t>
      </w:r>
      <w:r>
        <w:rPr>
          <w:rFonts w:ascii="Constantia" w:cs="Constantia" w:eastAsia="Constantia" w:hAnsi="Constantia"/>
          <w:b w:val="false"/>
          <w:bCs w:val="false"/>
          <w:i w:val="false"/>
          <w:iCs w:val="false"/>
          <w:strike w:val="false"/>
          <w:color w:val="000000"/>
          <w:sz w:val="24"/>
          <w:szCs w:val="24"/>
        </w:rPr>
        <w:t xml:space="preserve"> (BKT — Corbett &amp; Anderson, 1995 ; DKT — Piech et al., 2015 ; AKT — Ghosh et al., 2020) — le paradigme dominant pour modéliser la connaissance de l'élève. Aucune mention.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Intelligent Tutoring Systems</w:t>
      </w:r>
      <w:r>
        <w:rPr>
          <w:rFonts w:ascii="Constantia" w:cs="Constantia" w:eastAsia="Constantia" w:hAnsi="Constantia"/>
          <w:b w:val="false"/>
          <w:bCs w:val="false"/>
          <w:i w:val="false"/>
          <w:iCs w:val="false"/>
          <w:strike w:val="false"/>
          <w:color w:val="000000"/>
          <w:sz w:val="24"/>
          <w:szCs w:val="24"/>
        </w:rPr>
        <w:t xml:space="preserve"> (ITS) — Carnegie Learning, Cognitive Tutors, AutoTutor (Graesser et al.) — les systèmes les plus proches de l'« Élève IA » proposé. Aucune mention.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Zone Proximale de Développement</w:t>
      </w:r>
      <w:r>
        <w:rPr>
          <w:rFonts w:ascii="Constantia" w:cs="Constantia" w:eastAsia="Constantia" w:hAnsi="Constantia"/>
          <w:b w:val="false"/>
          <w:bCs w:val="false"/>
          <w:i w:val="false"/>
          <w:iCs w:val="false"/>
          <w:strike w:val="false"/>
          <w:color w:val="000000"/>
          <w:sz w:val="24"/>
          <w:szCs w:val="24"/>
        </w:rPr>
        <w:t xml:space="preserve"> (Vygotsky, 1978) — pourtant illustrée implicitement dans un schéma sans être citée ni formalisée. Cette omission est particulièrement surprenante car le concept de « corridor » est essentiellement une reformulation de la ZPD.</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Learning Analytics</w:t>
      </w:r>
      <w:r>
        <w:rPr>
          <w:rFonts w:ascii="Constantia" w:cs="Constantia" w:eastAsia="Constantia" w:hAnsi="Constantia"/>
          <w:b w:val="false"/>
          <w:bCs w:val="false"/>
          <w:i w:val="false"/>
          <w:iCs w:val="false"/>
          <w:strike w:val="false"/>
          <w:color w:val="000000"/>
          <w:sz w:val="24"/>
          <w:szCs w:val="24"/>
        </w:rPr>
        <w:t xml:space="preserve"> et </w:t>
      </w:r>
      <w:r>
        <w:rPr>
          <w:rFonts w:ascii="Constantia" w:cs="Constantia" w:eastAsia="Constantia" w:hAnsi="Constantia"/>
          <w:b/>
          <w:bCs/>
          <w:i w:val="false"/>
          <w:iCs w:val="false"/>
          <w:strike w:val="false"/>
          <w:color w:val="000000"/>
          <w:sz w:val="24"/>
          <w:szCs w:val="24"/>
        </w:rPr>
        <w:t xml:space="preserve">Educational Data Mining</w:t>
      </w:r>
      <w:r>
        <w:rPr>
          <w:rFonts w:ascii="Constantia" w:cs="Constantia" w:eastAsia="Constantia" w:hAnsi="Constantia"/>
          <w:b w:val="false"/>
          <w:bCs w:val="false"/>
          <w:i w:val="false"/>
          <w:iCs w:val="false"/>
          <w:strike w:val="false"/>
          <w:color w:val="000000"/>
          <w:sz w:val="24"/>
          <w:szCs w:val="24"/>
        </w:rPr>
        <w:t xml:space="preserve"> — les deux communautés qui seraient les consommatrices naturelles de ce type de cadre. Aucune mention.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Taxonomie de Bloom</w:t>
      </w:r>
      <w:r>
        <w:rPr>
          <w:rFonts w:ascii="Constantia" w:cs="Constantia" w:eastAsia="Constantia" w:hAnsi="Constantia"/>
          <w:b w:val="false"/>
          <w:bCs w:val="false"/>
          <w:i w:val="false"/>
          <w:iCs w:val="false"/>
          <w:strike w:val="false"/>
          <w:color w:val="000000"/>
          <w:sz w:val="24"/>
          <w:szCs w:val="24"/>
        </w:rPr>
        <w:t xml:space="preserve"> (1956) et sa révision par Anderson &amp; Krathwohl (2001) — cadre de référence pour la structuration des objectifs pédagogiques. Aucune mention.</w:t>
      </w:r>
    </w:p>
    <w:p>
      <w:pPr>
        <w:pStyle w:val="Heading3"/>
        <w:spacing w:after="120" w:before="240" w:line="312" w:lineRule="auto"/>
      </w:pPr>
      <w:r>
        <w:rPr>
          <w:rFonts w:ascii="Cambria" w:cs="Cambria" w:eastAsia="Cambria" w:hAnsi="Cambria"/>
          <w:color w:val="1A1A1A"/>
          <w:sz w:val="28"/>
          <w:szCs w:val="28"/>
        </w:rPr>
        <w:t xml:space="preserve">b) Absences en intelligence artificielle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Curriculum Learning</w:t>
      </w:r>
      <w:r>
        <w:rPr>
          <w:rFonts w:ascii="Constantia" w:cs="Constantia" w:eastAsia="Constantia" w:hAnsi="Constantia"/>
          <w:b w:val="false"/>
          <w:bCs w:val="false"/>
          <w:i w:val="false"/>
          <w:iCs w:val="false"/>
          <w:strike w:val="false"/>
          <w:color w:val="000000"/>
          <w:sz w:val="24"/>
          <w:szCs w:val="24"/>
        </w:rPr>
        <w:t xml:space="preserve"> de Bengio et al. (ICML, 2009) — le papier fondateur du domaine qui formalise l'idée d'ordonner les exemples d'entraînement par difficulté croissante. Le rapport utilise le concept sans citer la source.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Mémoire dans les LLM</w:t>
      </w:r>
      <w:r>
        <w:rPr>
          <w:rFonts w:ascii="Constantia" w:cs="Constantia" w:eastAsia="Constantia" w:hAnsi="Constantia"/>
          <w:b w:val="false"/>
          <w:bCs w:val="false"/>
          <w:i w:val="false"/>
          <w:iCs w:val="false"/>
          <w:strike w:val="false"/>
          <w:color w:val="000000"/>
          <w:sz w:val="24"/>
          <w:szCs w:val="24"/>
        </w:rPr>
        <w:t xml:space="preserve"> — RAG (Retrieval-Augmented Generation), bases vectorielles, mémoire épisodique — aucune discussion des travaux récents alors que le rapport mentionne des systèmes « LLM-powered » sans détailler l'architecture.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Transformers et mécanismes d'attention</w:t>
      </w:r>
      <w:r>
        <w:rPr>
          <w:rFonts w:ascii="Constantia" w:cs="Constantia" w:eastAsia="Constantia" w:hAnsi="Constantia"/>
          <w:b w:val="false"/>
          <w:bCs w:val="false"/>
          <w:i w:val="false"/>
          <w:iCs w:val="false"/>
          <w:strike w:val="false"/>
          <w:color w:val="000000"/>
          <w:sz w:val="24"/>
          <w:szCs w:val="24"/>
        </w:rPr>
        <w:t xml:space="preserve"> — aucune discussion de leur pertinence pour le curriculum adaptatif ou la modélisation de l'apprenant.</w:t>
      </w:r>
    </w:p>
    <w:p>
      <w:pPr>
        <w:pStyle w:val="Heading3"/>
        <w:spacing w:after="120" w:before="240" w:line="312" w:lineRule="auto"/>
      </w:pPr>
      <w:r>
        <w:rPr>
          <w:rFonts w:ascii="Cambria" w:cs="Cambria" w:eastAsia="Cambria" w:hAnsi="Cambria"/>
          <w:color w:val="1A1A1A"/>
          <w:sz w:val="28"/>
          <w:szCs w:val="28"/>
        </w:rPr>
        <w:t xml:space="preserve">c) Absences en sciences cognitives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Théorie de l'autodétermination</w:t>
      </w:r>
      <w:r>
        <w:rPr>
          <w:rFonts w:ascii="Constantia" w:cs="Constantia" w:eastAsia="Constantia" w:hAnsi="Constantia"/>
          <w:b w:val="false"/>
          <w:bCs w:val="false"/>
          <w:i w:val="false"/>
          <w:iCs w:val="false"/>
          <w:strike w:val="false"/>
          <w:color w:val="000000"/>
          <w:sz w:val="24"/>
          <w:szCs w:val="24"/>
        </w:rPr>
        <w:t xml:space="preserve"> (Deci &amp; Ryan, 2000) — centrale pour la motivation et l'apprentissage autorégulé. Le rapport parle de motivation sans citer le cadre théorique dominant.</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Théorie du flux</w:t>
      </w:r>
      <w:r>
        <w:rPr>
          <w:rFonts w:ascii="Constantia" w:cs="Constantia" w:eastAsia="Constantia" w:hAnsi="Constantia"/>
          <w:b w:val="false"/>
          <w:bCs w:val="false"/>
          <w:i w:val="false"/>
          <w:iCs w:val="false"/>
          <w:strike w:val="false"/>
          <w:color w:val="000000"/>
          <w:sz w:val="24"/>
          <w:szCs w:val="24"/>
        </w:rPr>
        <w:t xml:space="preserve"> (Csikszentmihalyi, 1990) — directement liée à la notion de « présence » P(t) et au concept de zone optimale entre ennui et anxiété. L'absence de cette référence est une lacune majeure.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Critiques de la CLT</w:t>
      </w:r>
      <w:r>
        <w:rPr>
          <w:rFonts w:ascii="Constantia" w:cs="Constantia" w:eastAsia="Constantia" w:hAnsi="Constantia"/>
          <w:b w:val="false"/>
          <w:bCs w:val="false"/>
          <w:i w:val="false"/>
          <w:iCs w:val="false"/>
          <w:strike w:val="false"/>
          <w:color w:val="000000"/>
          <w:sz w:val="24"/>
          <w:szCs w:val="24"/>
        </w:rPr>
        <w:t xml:space="preserve"> — De Jong (2010, </w:t>
      </w:r>
      <w:r>
        <w:rPr>
          <w:rFonts w:ascii="Constantia" w:cs="Constantia" w:eastAsia="Constantia" w:hAnsi="Constantia"/>
          <w:b w:val="false"/>
          <w:bCs w:val="false"/>
          <w:i/>
          <w:iCs/>
          <w:strike w:val="false"/>
          <w:color w:val="000000"/>
          <w:sz w:val="24"/>
          <w:szCs w:val="24"/>
        </w:rPr>
        <w:t xml:space="preserve">Instructional Science</w:t>
      </w:r>
      <w:r>
        <w:rPr>
          <w:rFonts w:ascii="Constantia" w:cs="Constantia" w:eastAsia="Constantia" w:hAnsi="Constantia"/>
          <w:b w:val="false"/>
          <w:bCs w:val="false"/>
          <w:i w:val="false"/>
          <w:iCs w:val="false"/>
          <w:strike w:val="false"/>
          <w:color w:val="000000"/>
          <w:sz w:val="24"/>
          <w:szCs w:val="24"/>
        </w:rPr>
        <w:t xml:space="preserve">) et Schnotz &amp; Kürschner (2007) ont formulé des critiques substantielles de la Cognitive Load Theory que le rapport utilise comme fondation sans les discuter.</w:t>
      </w:r>
    </w:p>
    <w:p>
      <w:pPr>
        <w:pStyle w:val="Heading3"/>
        <w:spacing w:after="120" w:before="240" w:line="312" w:lineRule="auto"/>
      </w:pPr>
      <w:r>
        <w:rPr>
          <w:rFonts w:ascii="Cambria" w:cs="Cambria" w:eastAsia="Cambria" w:hAnsi="Cambria"/>
          <w:color w:val="1A1A1A"/>
          <w:sz w:val="28"/>
          <w:szCs w:val="28"/>
        </w:rPr>
        <w:t xml:space="preserve">d) Auto-référentialité</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Le rapport cite 4 publications de Maisonneuve (Blueprint/Askio1) sur 12 références totales, soit </w:t>
      </w:r>
      <w:r>
        <w:rPr>
          <w:rFonts w:ascii="Constantia" w:cs="Constantia" w:eastAsia="Constantia" w:hAnsi="Constantia"/>
          <w:b/>
          <w:bCs/>
          <w:i w:val="false"/>
          <w:iCs w:val="false"/>
          <w:strike w:val="false"/>
          <w:color w:val="000000"/>
          <w:sz w:val="24"/>
          <w:szCs w:val="24"/>
        </w:rPr>
        <w:t xml:space="preserve">33 % d'auto-citation</w:t>
      </w:r>
      <w:r>
        <w:rPr>
          <w:rFonts w:ascii="Constantia" w:cs="Constantia" w:eastAsia="Constantia" w:hAnsi="Constantia"/>
          <w:b w:val="false"/>
          <w:bCs w:val="false"/>
          <w:i w:val="false"/>
          <w:iCs w:val="false"/>
          <w:strike w:val="false"/>
          <w:color w:val="000000"/>
          <w:sz w:val="24"/>
          <w:szCs w:val="24"/>
        </w:rPr>
        <w:t xml:space="preserve">. Cette proportion est inhabituellement élevée pour un rapport de recherche et crée un risque de circularité : le cadre se valide par ses propres définitions, ses propres travaux antérieurs, et ses propres standards internes. En peer review, un taux d'auto-citation supérieur à 15–20 % suscite généralement des questions.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84" w:lineRule="auto"/>
            </w:pPr>
            <w:r>
              <w:rPr>
                <w:rFonts w:ascii="Constantia" w:cs="Constantia" w:eastAsia="Constantia" w:hAnsi="Constantia"/>
                <w:b/>
                <w:bCs/>
                <w:i w:val="false"/>
                <w:iCs w:val="false"/>
                <w:strike w:val="false"/>
                <w:color w:val="000000"/>
                <w:sz w:val="24"/>
                <w:szCs w:val="24"/>
              </w:rPr>
              <w:t xml:space="preserve">Recommandation R3</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Élargir la revue de littérature à au moins 40–60 références couvrant les domaines mentionnés. Positionner explicitement l'architecture par rapport à BKT/DKT, ITS, ZPD, théorie du flux, curriculum learning de Bengio, et théorie de l'autodétermination. Discuter les critiques existantes de la CLT et expliquer comment le cadre proposé y répond.</w:t>
            </w:r>
          </w:p>
        </w:tc>
      </w:tr>
    </w:tbl>
    <w:p>
      <w:pPr>
        <w:spacing w:after="240" w:before="0"/>
      </w:pPr>
    </w:p>
    <w:p>
      <w:pPr>
        <w:pStyle w:val="Heading1"/>
        <w:spacing w:after="120" w:before="480" w:line="312" w:lineRule="auto"/>
      </w:pPr>
      <w:r>
        <w:rPr>
          <w:rFonts w:ascii="Cambria" w:cs="Cambria" w:eastAsia="Cambria" w:hAnsi="Cambria"/>
          <w:color w:val="1A1A1A"/>
          <w:sz w:val="48"/>
          <w:szCs w:val="48"/>
        </w:rPr>
        <w:t xml:space="preserve">Section 3 — Critiques théoriques</w:t>
      </w:r>
    </w:p>
    <w:p>
      <w:pPr>
        <w:pStyle w:val="Heading2"/>
        <w:spacing w:after="120" w:before="360" w:line="312" w:lineRule="auto"/>
      </w:pPr>
      <w:r>
        <w:rPr>
          <w:rFonts w:ascii="Cambria" w:cs="Cambria" w:eastAsia="Cambria" w:hAnsi="Cambria"/>
          <w:color w:val="1A1A1A"/>
          <w:sz w:val="36"/>
          <w:szCs w:val="36"/>
        </w:rPr>
        <w:t xml:space="preserve">3.1 CRITIQUE #4 — Risque d'over-engineering théorique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60" w:line="384" w:lineRule="auto"/>
            </w:pPr>
            <w:r>
              <w:rPr>
                <w:rFonts w:ascii="Constantia" w:cs="Constantia" w:eastAsia="Constantia" w:hAnsi="Constantia"/>
                <w:b/>
                <w:bCs/>
                <w:i w:val="false"/>
                <w:iCs w:val="false"/>
                <w:strike w:val="false"/>
                <w:color w:val="000000"/>
                <w:sz w:val="24"/>
                <w:szCs w:val="24"/>
              </w:rPr>
              <w:t xml:space="preserve">Niveau de sévérité : MODÉRÉ</w:t>
            </w:r>
          </w:p>
        </w:tc>
      </w:tr>
    </w:tbl>
    <w:p>
      <w:pPr>
        <w:spacing w:after="240" w:before="0"/>
      </w:pP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Le cadre Blueprint mobilise un appareil théorique massif : 29 invariants, 7 trajectoires, 7 points de décision, 16 garde-fous mémoriels, 16 garde-fous expressifs, 13 garde-fous d'action, 15 garde-fous structurels, 7 boucles BNGUR. L'architecture résultante est d'une complexité considérable — plus de 120 composants formellement nommés et numérotés.</w:t>
      </w:r>
    </w:p>
    <w:p>
      <w:pPr>
        <w:spacing w:after="120" w:before="60" w:line="384" w:lineRule="auto"/>
      </w:pPr>
      <w:r>
        <w:rPr>
          <w:rFonts w:ascii="Constantia" w:cs="Constantia" w:eastAsia="Constantia" w:hAnsi="Constantia"/>
          <w:b/>
          <w:bCs/>
          <w:i w:val="false"/>
          <w:iCs w:val="false"/>
          <w:strike w:val="false"/>
          <w:color w:val="000000"/>
          <w:sz w:val="24"/>
          <w:szCs w:val="24"/>
        </w:rPr>
        <w:t xml:space="preserve">Question fondamentale :</w:t>
      </w:r>
      <w:r>
        <w:rPr>
          <w:rFonts w:ascii="Constantia" w:cs="Constantia" w:eastAsia="Constantia" w:hAnsi="Constantia"/>
          <w:b w:val="false"/>
          <w:bCs w:val="false"/>
          <w:i w:val="false"/>
          <w:iCs w:val="false"/>
          <w:strike w:val="false"/>
          <w:color w:val="000000"/>
          <w:sz w:val="24"/>
          <w:szCs w:val="24"/>
        </w:rPr>
        <w:t xml:space="preserve"> cette complexité est-elle nécessaire ? Le principe du rasoir d'Ockham suggère que la théorie la plus simple expliquant les phénomènes observés est préférable. Le rapport ne démontre pas pourquoi un système plus simple — par exemple un tuteur adaptatif avec un modèle de connaissance bayésien et une politique de renforcement — ne suffirait pas à atteindre les mêmes objectifs.</w:t>
      </w:r>
    </w:p>
    <w:p>
      <w:pPr>
        <w:spacing w:after="120" w:before="60" w:line="384" w:lineRule="auto"/>
      </w:pPr>
      <w:r>
        <w:rPr>
          <w:rFonts w:ascii="Constantia" w:cs="Constantia" w:eastAsia="Constantia" w:hAnsi="Constantia"/>
          <w:b/>
          <w:bCs/>
          <w:i w:val="false"/>
          <w:iCs w:val="false"/>
          <w:strike w:val="false"/>
          <w:color w:val="000000"/>
          <w:sz w:val="24"/>
          <w:szCs w:val="24"/>
        </w:rPr>
        <w:t xml:space="preserve">Référence interne révélatrice :</w:t>
      </w:r>
      <w:r>
        <w:rPr>
          <w:rFonts w:ascii="Constantia" w:cs="Constantia" w:eastAsia="Constantia" w:hAnsi="Constantia"/>
          <w:b w:val="false"/>
          <w:bCs w:val="false"/>
          <w:i w:val="false"/>
          <w:iCs w:val="false"/>
          <w:strike w:val="false"/>
          <w:color w:val="000000"/>
          <w:sz w:val="24"/>
          <w:szCs w:val="24"/>
        </w:rPr>
        <w:t xml:space="preserve"> l'Invariant I20 (Priorité du simple) du propre cadre Blueprint stipule : « La solution la plus simple est préférée si elle respecte les invariants. » Le rapport viole potentiellement son propre invariant — la question légitime est de savoir si tous les invariants sont nécessaires ou si certains sont redondants. Sans ablation systématique, il est impossible de le déterminer.</w:t>
      </w:r>
    </w:p>
    <w:p>
      <w:pPr>
        <w:spacing w:after="120" w:before="60" w:line="384" w:lineRule="auto"/>
      </w:pPr>
      <w:r>
        <w:rPr>
          <w:rFonts w:ascii="Constantia" w:cs="Constantia" w:eastAsia="Constantia" w:hAnsi="Constantia"/>
          <w:b/>
          <w:bCs/>
          <w:i w:val="false"/>
          <w:iCs w:val="false"/>
          <w:strike w:val="false"/>
          <w:color w:val="000000"/>
          <w:sz w:val="24"/>
          <w:szCs w:val="24"/>
        </w:rPr>
        <w:t xml:space="preserve">Contre-argument possible :</w:t>
      </w:r>
      <w:r>
        <w:rPr>
          <w:rFonts w:ascii="Constantia" w:cs="Constantia" w:eastAsia="Constantia" w:hAnsi="Constantia"/>
          <w:b w:val="false"/>
          <w:bCs w:val="false"/>
          <w:i w:val="false"/>
          <w:iCs w:val="false"/>
          <w:strike w:val="false"/>
          <w:color w:val="000000"/>
          <w:sz w:val="24"/>
          <w:szCs w:val="24"/>
        </w:rPr>
        <w:t xml:space="preserve"> la complexité du réel justifie la complexité du modèle. Les systèmes éducatifs sont effectivement complexes, multi-dimensionnels et non-linéaires. Mais cette justification doit être </w:t>
      </w:r>
      <w:r>
        <w:rPr>
          <w:rFonts w:ascii="Constantia" w:cs="Constantia" w:eastAsia="Constantia" w:hAnsi="Constantia"/>
          <w:b w:val="false"/>
          <w:bCs w:val="false"/>
          <w:i/>
          <w:iCs/>
          <w:strike w:val="false"/>
          <w:color w:val="000000"/>
          <w:sz w:val="24"/>
          <w:szCs w:val="24"/>
        </w:rPr>
        <w:t xml:space="preserve">démontrée</w:t>
      </w:r>
      <w:r>
        <w:rPr>
          <w:rFonts w:ascii="Constantia" w:cs="Constantia" w:eastAsia="Constantia" w:hAnsi="Constantia"/>
          <w:b w:val="false"/>
          <w:bCs w:val="false"/>
          <w:i w:val="false"/>
          <w:iCs w:val="false"/>
          <w:strike w:val="false"/>
          <w:color w:val="000000"/>
          <w:sz w:val="24"/>
          <w:szCs w:val="24"/>
        </w:rPr>
        <w:t xml:space="preserve">, pas </w:t>
      </w:r>
      <w:r>
        <w:rPr>
          <w:rFonts w:ascii="Constantia" w:cs="Constantia" w:eastAsia="Constantia" w:hAnsi="Constantia"/>
          <w:b w:val="false"/>
          <w:bCs w:val="false"/>
          <w:i/>
          <w:iCs/>
          <w:strike w:val="false"/>
          <w:color w:val="000000"/>
          <w:sz w:val="24"/>
          <w:szCs w:val="24"/>
        </w:rPr>
        <w:t xml:space="preserve">postulée</w:t>
      </w:r>
      <w:r>
        <w:rPr>
          <w:rFonts w:ascii="Constantia" w:cs="Constantia" w:eastAsia="Constantia" w:hAnsi="Constantia"/>
          <w:b w:val="false"/>
          <w:bCs w:val="false"/>
          <w:i w:val="false"/>
          <w:iCs w:val="false"/>
          <w:strike w:val="false"/>
          <w:color w:val="000000"/>
          <w:sz w:val="24"/>
          <w:szCs w:val="24"/>
        </w:rPr>
        <w:t xml:space="preserve">. Chaque composant ajouté au modèle devrait s'accompagner d'une preuve que sa suppression dégrade les performances du système.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84" w:lineRule="auto"/>
            </w:pPr>
            <w:r>
              <w:rPr>
                <w:rFonts w:ascii="Constantia" w:cs="Constantia" w:eastAsia="Constantia" w:hAnsi="Constantia"/>
                <w:b/>
                <w:bCs/>
                <w:i w:val="false"/>
                <w:iCs w:val="false"/>
                <w:strike w:val="false"/>
                <w:color w:val="000000"/>
                <w:sz w:val="24"/>
                <w:szCs w:val="24"/>
              </w:rPr>
              <w:t xml:space="preserve">Recommandation R5</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Proposer une version minimale de l'architecture (« Blueprint-lite ») avec uniquement les composants essentiels. Montrer par étude d'ablation que chaque couche ajoutée apporte un gain mesurable et statistiquement significatif.</w:t>
            </w:r>
          </w:p>
        </w:tc>
      </w:tr>
    </w:tbl>
    <w:p>
      <w:pPr>
        <w:spacing w:after="240" w:before="0"/>
      </w:pPr>
    </w:p>
    <w:p>
      <w:pPr>
        <w:pStyle w:val="Heading2"/>
        <w:spacing w:after="120" w:before="360" w:line="312" w:lineRule="auto"/>
      </w:pPr>
      <w:r>
        <w:rPr>
          <w:rFonts w:ascii="Cambria" w:cs="Cambria" w:eastAsia="Cambria" w:hAnsi="Cambria"/>
          <w:color w:val="1A1A1A"/>
          <w:sz w:val="36"/>
          <w:szCs w:val="36"/>
        </w:rPr>
        <w:t xml:space="preserve">3.2 CRITIQUE #5 — Tension entre formalisme et métaphore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60" w:line="384" w:lineRule="auto"/>
            </w:pPr>
            <w:r>
              <w:rPr>
                <w:rFonts w:ascii="Constantia" w:cs="Constantia" w:eastAsia="Constantia" w:hAnsi="Constantia"/>
                <w:b/>
                <w:bCs/>
                <w:i w:val="false"/>
                <w:iCs w:val="false"/>
                <w:strike w:val="false"/>
                <w:color w:val="000000"/>
                <w:sz w:val="24"/>
                <w:szCs w:val="24"/>
              </w:rPr>
              <w:t xml:space="preserve">Niveau de sévérité : MODÉRÉ</w:t>
            </w:r>
          </w:p>
        </w:tc>
      </w:tr>
    </w:tbl>
    <w:p>
      <w:pPr>
        <w:spacing w:after="240" w:before="0"/>
      </w:pP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Le rapport oscille de manière systématique entre deux registres épistémologiques incompatibles :</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Un </w:t>
      </w:r>
      <w:r>
        <w:rPr>
          <w:rFonts w:ascii="Constantia" w:cs="Constantia" w:eastAsia="Constantia" w:hAnsi="Constantia"/>
          <w:b/>
          <w:bCs/>
          <w:i w:val="false"/>
          <w:iCs w:val="false"/>
          <w:strike w:val="false"/>
          <w:color w:val="000000"/>
          <w:sz w:val="24"/>
          <w:szCs w:val="24"/>
        </w:rPr>
        <w:t xml:space="preserve">registre formel mathématique</w:t>
      </w:r>
      <w:r>
        <w:rPr>
          <w:rFonts w:ascii="Constantia" w:cs="Constantia" w:eastAsia="Constantia" w:hAnsi="Constantia"/>
          <w:b w:val="false"/>
          <w:bCs w:val="false"/>
          <w:i w:val="false"/>
          <w:iCs w:val="false"/>
          <w:strike w:val="false"/>
          <w:color w:val="000000"/>
          <w:sz w:val="24"/>
          <w:szCs w:val="24"/>
        </w:rPr>
        <w:t xml:space="preserve"> : équations, opérateurs, espaces vectoriels, optimisation</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Un </w:t>
      </w:r>
      <w:r>
        <w:rPr>
          <w:rFonts w:ascii="Constantia" w:cs="Constantia" w:eastAsia="Constantia" w:hAnsi="Constantia"/>
          <w:b/>
          <w:bCs/>
          <w:i w:val="false"/>
          <w:iCs w:val="false"/>
          <w:strike w:val="false"/>
          <w:color w:val="000000"/>
          <w:sz w:val="24"/>
          <w:szCs w:val="24"/>
        </w:rPr>
        <w:t xml:space="preserve">registre métaphorique</w:t>
      </w:r>
      <w:r>
        <w:rPr>
          <w:rFonts w:ascii="Constantia" w:cs="Constantia" w:eastAsia="Constantia" w:hAnsi="Constantia"/>
          <w:b w:val="false"/>
          <w:bCs w:val="false"/>
          <w:i w:val="false"/>
          <w:iCs w:val="false"/>
          <w:strike w:val="false"/>
          <w:color w:val="000000"/>
          <w:sz w:val="24"/>
          <w:szCs w:val="24"/>
        </w:rPr>
        <w:t xml:space="preserve"> : navigation incarnée, corridor, attracteur de vie, gravité cognitive</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Cette oscillation crée une ambiguïté fondamentale. Le lecteur ne sait pas si les termes sont utilisés au sens technique (mathématique) ou au sens figuré (métaphorique). Exemples concrets :</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 Navigation incarnée » :</w:t>
      </w:r>
      <w:r>
        <w:rPr>
          <w:rFonts w:ascii="Constantia" w:cs="Constantia" w:eastAsia="Constantia" w:hAnsi="Constantia"/>
          <w:b w:val="false"/>
          <w:bCs w:val="false"/>
          <w:i w:val="false"/>
          <w:iCs w:val="false"/>
          <w:strike w:val="false"/>
          <w:color w:val="000000"/>
          <w:sz w:val="24"/>
          <w:szCs w:val="24"/>
        </w:rPr>
        <w:t xml:space="preserve"> est-ce une métaphore pour « apprentissage adaptatif » ou un concept technique avec une définition opérationnelle précise ? La TNI (Théorie de la Navigation Incarnée) stipule « pas de navigation sans corps » — mais l'Élève IA n'a pas de corps. Comment ce postulat s'applique-t-il à un agent logiciel ? Le rapport ne résout pas cette contradiction.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 Gravité cognitive » :</w:t>
      </w:r>
      <w:r>
        <w:rPr>
          <w:rFonts w:ascii="Constantia" w:cs="Constantia" w:eastAsia="Constantia" w:hAnsi="Constantia"/>
          <w:b w:val="false"/>
          <w:bCs w:val="false"/>
          <w:i w:val="false"/>
          <w:iCs w:val="false"/>
          <w:strike w:val="false"/>
          <w:color w:val="000000"/>
          <w:sz w:val="24"/>
          <w:szCs w:val="24"/>
        </w:rPr>
        <w:t xml:space="preserve"> est-ce une analogie poétique avec la physique newtonienne ou un modèle mathématique avec une constante gravitationnelle cognitive mesurable ? Si c'est le second, quelle est la « masse » cognitive et comment la mesure-t-on ?</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 Refroidissement » :</w:t>
      </w:r>
      <w:r>
        <w:rPr>
          <w:rFonts w:ascii="Constantia" w:cs="Constantia" w:eastAsia="Constantia" w:hAnsi="Constantia"/>
          <w:b w:val="false"/>
          <w:bCs w:val="false"/>
          <w:i w:val="false"/>
          <w:iCs w:val="false"/>
          <w:strike w:val="false"/>
          <w:color w:val="000000"/>
          <w:sz w:val="24"/>
          <w:szCs w:val="24"/>
        </w:rPr>
        <w:t xml:space="preserve"> emprunt à la thermodynamique ou au simulated annealing ? Les deux ont des formalismes radicalement différents. Le simulated annealing implique un schedule de température décroissant et une probabilité d'acceptation de Boltzmann — rien de cela n'est formalisé.</w:t>
      </w:r>
    </w:p>
    <w:p>
      <w:pPr>
        <w:spacing w:after="120" w:before="60" w:line="384" w:lineRule="auto"/>
      </w:pPr>
      <w:r>
        <w:rPr>
          <w:rFonts w:ascii="Constantia" w:cs="Constantia" w:eastAsia="Constantia" w:hAnsi="Constantia"/>
          <w:b/>
          <w:bCs/>
          <w:i w:val="false"/>
          <w:iCs w:val="false"/>
          <w:strike w:val="false"/>
          <w:color w:val="000000"/>
          <w:sz w:val="24"/>
          <w:szCs w:val="24"/>
        </w:rPr>
        <w:t xml:space="preserve">Risque :</w:t>
      </w:r>
      <w:r>
        <w:rPr>
          <w:rFonts w:ascii="Constantia" w:cs="Constantia" w:eastAsia="Constantia" w:hAnsi="Constantia"/>
          <w:b w:val="false"/>
          <w:bCs w:val="false"/>
          <w:i w:val="false"/>
          <w:iCs w:val="false"/>
          <w:strike w:val="false"/>
          <w:color w:val="000000"/>
          <w:sz w:val="24"/>
          <w:szCs w:val="24"/>
        </w:rPr>
        <w:t xml:space="preserve"> le lecteur scientifique percevra les formalismes comme du « math-washing » — l'habillage mathématique d'intuitions non quantifiées pour leur donner une apparence de rigueur. Ce phénomène est bien documenté dans la littérature sur les pseudo-formalismes en sciences sociales.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84" w:lineRule="auto"/>
            </w:pPr>
            <w:r>
              <w:rPr>
                <w:rFonts w:ascii="Constantia" w:cs="Constantia" w:eastAsia="Constantia" w:hAnsi="Constantia"/>
                <w:b/>
                <w:bCs/>
                <w:i w:val="false"/>
                <w:iCs w:val="false"/>
                <w:strike w:val="false"/>
                <w:color w:val="000000"/>
                <w:sz w:val="24"/>
                <w:szCs w:val="24"/>
              </w:rPr>
              <w:t xml:space="preserve">Recommandation R7</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Choisir un registre et s'y tenir. Soit le rapport est un manifeste philosophique avec des analogies (acceptable pour un workshop paper ou un position paper), soit c'est un article technique avec des formalismes implémentables (acceptable pour une venue ML/AI). Le mélange des deux affaiblit les deux. Étiqueter chaque formalisme explicitement : « modèle implémentable » vs « cadre conceptuel ».</w:t>
            </w:r>
          </w:p>
        </w:tc>
      </w:tr>
    </w:tbl>
    <w:p>
      <w:pPr>
        <w:spacing w:after="240" w:before="0"/>
      </w:pPr>
    </w:p>
    <w:p>
      <w:pPr>
        <w:pStyle w:val="Heading2"/>
        <w:spacing w:after="120" w:before="360" w:line="312" w:lineRule="auto"/>
      </w:pPr>
      <w:r>
        <w:rPr>
          <w:rFonts w:ascii="Cambria" w:cs="Cambria" w:eastAsia="Cambria" w:hAnsi="Cambria"/>
          <w:color w:val="1A1A1A"/>
          <w:sz w:val="36"/>
          <w:szCs w:val="36"/>
        </w:rPr>
        <w:t xml:space="preserve">3.3 CRITIQUE #6 — Le problème de la circularité Blueprint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60" w:line="384" w:lineRule="auto"/>
            </w:pPr>
            <w:r>
              <w:rPr>
                <w:rFonts w:ascii="Constantia" w:cs="Constantia" w:eastAsia="Constantia" w:hAnsi="Constantia"/>
                <w:b/>
                <w:bCs/>
                <w:i w:val="false"/>
                <w:iCs w:val="false"/>
                <w:strike w:val="false"/>
                <w:color w:val="000000"/>
                <w:sz w:val="24"/>
                <w:szCs w:val="24"/>
              </w:rPr>
              <w:t xml:space="preserve">Niveau de sévérité : MODÉRÉ</w:t>
            </w:r>
          </w:p>
        </w:tc>
      </w:tr>
    </w:tbl>
    <w:p>
      <w:pPr>
        <w:spacing w:after="240" w:before="0"/>
      </w:pP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Le cadre Blueprint est utilisé simultanément dans trois rôles distincts :</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Le cadre théorique</w:t>
      </w:r>
      <w:r>
        <w:rPr>
          <w:rFonts w:ascii="Constantia" w:cs="Constantia" w:eastAsia="Constantia" w:hAnsi="Constantia"/>
          <w:b w:val="false"/>
          <w:bCs w:val="false"/>
          <w:i w:val="false"/>
          <w:iCs w:val="false"/>
          <w:strike w:val="false"/>
          <w:color w:val="000000"/>
          <w:sz w:val="24"/>
          <w:szCs w:val="24"/>
        </w:rPr>
        <w:t xml:space="preserve"> qui fonde l'architecture (C0–C4 fournit les invariants et les axiomes)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L'objet de la recherche</w:t>
      </w:r>
      <w:r>
        <w:rPr>
          <w:rFonts w:ascii="Constantia" w:cs="Constantia" w:eastAsia="Constantia" w:hAnsi="Constantia"/>
          <w:b w:val="false"/>
          <w:bCs w:val="false"/>
          <w:i w:val="false"/>
          <w:iCs w:val="false"/>
          <w:strike w:val="false"/>
          <w:color w:val="000000"/>
          <w:sz w:val="24"/>
          <w:szCs w:val="24"/>
        </w:rPr>
        <w:t xml:space="preserve"> (l'Élève IA est un agent Blueprint, construit selon les règles Blueprint)</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Le critère d'évaluation</w:t>
      </w:r>
      <w:r>
        <w:rPr>
          <w:rFonts w:ascii="Constantia" w:cs="Constantia" w:eastAsia="Constantia" w:hAnsi="Constantia"/>
          <w:b w:val="false"/>
          <w:bCs w:val="false"/>
          <w:i w:val="false"/>
          <w:iCs w:val="false"/>
          <w:strike w:val="false"/>
          <w:color w:val="000000"/>
          <w:sz w:val="24"/>
          <w:szCs w:val="24"/>
        </w:rPr>
        <w:t xml:space="preserve"> (la qualité du système se mesure par ϟP, un invariant défini par Blueprint)</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Cette triple fonction crée une </w:t>
      </w:r>
      <w:r>
        <w:rPr>
          <w:rFonts w:ascii="Constantia" w:cs="Constantia" w:eastAsia="Constantia" w:hAnsi="Constantia"/>
          <w:b/>
          <w:bCs/>
          <w:i w:val="false"/>
          <w:iCs w:val="false"/>
          <w:strike w:val="false"/>
          <w:color w:val="000000"/>
          <w:sz w:val="24"/>
          <w:szCs w:val="24"/>
        </w:rPr>
        <w:t xml:space="preserve">circularité épistémologique</w:t>
      </w:r>
      <w:r>
        <w:rPr>
          <w:rFonts w:ascii="Constantia" w:cs="Constantia" w:eastAsia="Constantia" w:hAnsi="Constantia"/>
          <w:b w:val="false"/>
          <w:bCs w:val="false"/>
          <w:i w:val="false"/>
          <w:iCs w:val="false"/>
          <w:strike w:val="false"/>
          <w:color w:val="000000"/>
          <w:sz w:val="24"/>
          <w:szCs w:val="24"/>
        </w:rPr>
        <w:t xml:space="preserve"> : le système se définit par ses propres critères, se construit avec ses propres outils, et s'évalue par ses propres métriques. C'est un système fermé qui ne peut pas être falsifié de l'extérieur — toute évaluation est interne et auto-confirmante.</w:t>
      </w:r>
    </w:p>
    <w:p>
      <w:pPr>
        <w:spacing w:after="120" w:before="60" w:line="384" w:lineRule="auto"/>
      </w:pPr>
      <w:r>
        <w:rPr>
          <w:rFonts w:ascii="Constantia" w:cs="Constantia" w:eastAsia="Constantia" w:hAnsi="Constantia"/>
          <w:b/>
          <w:bCs/>
          <w:i w:val="false"/>
          <w:iCs w:val="false"/>
          <w:strike w:val="false"/>
          <w:color w:val="000000"/>
          <w:sz w:val="24"/>
          <w:szCs w:val="24"/>
        </w:rPr>
        <w:t xml:space="preserve">Question cruciale :</w:t>
      </w:r>
      <w:r>
        <w:rPr>
          <w:rFonts w:ascii="Constantia" w:cs="Constantia" w:eastAsia="Constantia" w:hAnsi="Constantia"/>
          <w:b w:val="false"/>
          <w:bCs w:val="false"/>
          <w:i w:val="false"/>
          <w:iCs w:val="false"/>
          <w:strike w:val="false"/>
          <w:color w:val="000000"/>
          <w:sz w:val="24"/>
          <w:szCs w:val="24"/>
        </w:rPr>
        <w:t xml:space="preserve"> quel résultat empirique pourrait réfuter le cadre Blueprint ? Si aucun résultat observable ne peut le réfuter, le cadre n'est pas scientifique au sens poppérien — il est axiomatique. Un système axiomatique est acceptable pour un cadre formel (comme les mathématiques pures), mais pas pour une théorie empirique qui prétend décrire et améliorer l'apprentissage réel.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84" w:lineRule="auto"/>
            </w:pPr>
            <w:r>
              <w:rPr>
                <w:rFonts w:ascii="Constantia" w:cs="Constantia" w:eastAsia="Constantia" w:hAnsi="Constantia"/>
                <w:b/>
                <w:bCs/>
                <w:i w:val="false"/>
                <w:iCs w:val="false"/>
                <w:strike w:val="false"/>
                <w:color w:val="000000"/>
                <w:sz w:val="24"/>
                <w:szCs w:val="24"/>
              </w:rPr>
              <w:t xml:space="preserve">Recommandation R6</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Introduire des critères d'évaluation externes au cadre Blueprint. Comparer les performances de l'Élève IA avec des systèmes qui n'utilisent PAS Blueprint (ex. DKT standard, tuteur RL standard, ALEKS) sur des métriques indépendantes et reconnues par la communauté (taux de rétention, scores de test standardisés, temps d'apprentissage, NASA-TLX pour la charge cognitive).</w:t>
            </w:r>
          </w:p>
        </w:tc>
      </w:tr>
    </w:tbl>
    <w:p>
      <w:pPr>
        <w:spacing w:after="240" w:before="0"/>
      </w:pPr>
    </w:p>
    <w:p>
      <w:pPr>
        <w:pStyle w:val="Heading1"/>
        <w:spacing w:after="120" w:before="480" w:line="312" w:lineRule="auto"/>
      </w:pPr>
      <w:r>
        <w:rPr>
          <w:rFonts w:ascii="Cambria" w:cs="Cambria" w:eastAsia="Cambria" w:hAnsi="Cambria"/>
          <w:color w:val="1A1A1A"/>
          <w:sz w:val="48"/>
          <w:szCs w:val="48"/>
        </w:rPr>
        <w:t xml:space="preserve">Section 4 — Risques techniques</w:t>
      </w:r>
    </w:p>
    <w:p>
      <w:pPr>
        <w:pStyle w:val="Heading2"/>
        <w:spacing w:after="120" w:before="360" w:line="312" w:lineRule="auto"/>
      </w:pPr>
      <w:r>
        <w:rPr>
          <w:rFonts w:ascii="Cambria" w:cs="Cambria" w:eastAsia="Cambria" w:hAnsi="Cambria"/>
          <w:color w:val="1A1A1A"/>
          <w:sz w:val="36"/>
          <w:szCs w:val="36"/>
        </w:rPr>
        <w:t xml:space="preserve">4.1 RISQUE #1 — Scalabilité de la mémoire externe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60" w:line="384" w:lineRule="auto"/>
            </w:pPr>
            <w:r>
              <w:rPr>
                <w:rFonts w:ascii="Constantia" w:cs="Constantia" w:eastAsia="Constantia" w:hAnsi="Constantia"/>
                <w:b/>
                <w:bCs/>
                <w:i w:val="false"/>
                <w:iCs w:val="false"/>
                <w:strike w:val="false"/>
                <w:color w:val="000000"/>
                <w:sz w:val="24"/>
                <w:szCs w:val="24"/>
              </w:rPr>
              <w:t xml:space="preserve">Niveau : ÉLEVÉ</w:t>
            </w:r>
          </w:p>
        </w:tc>
      </w:tr>
    </w:tbl>
    <w:p>
      <w:pPr>
        <w:spacing w:after="240" w:before="0"/>
      </w:pP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Les MANNs (Memory-Augmented Neural Networks) ont un problème de scalabilité bien documenté dans la littérature. Le coût computationnel des opérations de lecture/écriture croît avec la taille de la mémoire. Rae et al. (NeurIPS, 2016) ont montré que les MANNs non-sparse sont environ 1000× plus lents et consomment 3000× plus de mémoire physique que les alternatives sparse. Karunaratne et al. (</w:t>
      </w:r>
      <w:r>
        <w:rPr>
          <w:rFonts w:ascii="Constantia" w:cs="Constantia" w:eastAsia="Constantia" w:hAnsi="Constantia"/>
          <w:b w:val="false"/>
          <w:bCs w:val="false"/>
          <w:i/>
          <w:iCs/>
          <w:strike w:val="false"/>
          <w:color w:val="000000"/>
          <w:sz w:val="24"/>
          <w:szCs w:val="24"/>
        </w:rPr>
        <w:t xml:space="preserve">Nature Communications</w:t>
      </w:r>
      <w:r>
        <w:rPr>
          <w:rFonts w:ascii="Constantia" w:cs="Constantia" w:eastAsia="Constantia" w:hAnsi="Constantia"/>
          <w:b w:val="false"/>
          <w:bCs w:val="false"/>
          <w:i w:val="false"/>
          <w:iCs w:val="false"/>
          <w:strike w:val="false"/>
          <w:color w:val="000000"/>
          <w:sz w:val="24"/>
          <w:szCs w:val="24"/>
        </w:rPr>
        <w:t xml:space="preserve">, 2021) confirment que le bottleneck d'accès mémoire est fondamental dans l'architecture von Neumann et que même les approches in-memory computing ont des limitations de scalabilité.</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Le rapport propose une mémoire externe à 3 niveaux avec 16 garde-fous mémoriels. L'overhead computationnel de la vérification de chaque garde-fou à chaque opération mémoire n'est pas évalué. Si chaque garde-fou implique une inférence (même légère), le coût total par opération mémoire est multiplié par 16.</w:t>
      </w:r>
    </w:p>
    <w:p>
      <w:pPr>
        <w:spacing w:after="120" w:before="60" w:line="384" w:lineRule="auto"/>
      </w:pPr>
      <w:r>
        <w:rPr>
          <w:rFonts w:ascii="Constantia" w:cs="Constantia" w:eastAsia="Constantia" w:hAnsi="Constantia"/>
          <w:b/>
          <w:bCs/>
          <w:i w:val="false"/>
          <w:iCs w:val="false"/>
          <w:strike w:val="false"/>
          <w:color w:val="000000"/>
          <w:sz w:val="24"/>
          <w:szCs w:val="24"/>
        </w:rPr>
        <w:t xml:space="preserve">Impact :</w:t>
      </w:r>
      <w:r>
        <w:rPr>
          <w:rFonts w:ascii="Constantia" w:cs="Constantia" w:eastAsia="Constantia" w:hAnsi="Constantia"/>
          <w:b w:val="false"/>
          <w:bCs w:val="false"/>
          <w:i w:val="false"/>
          <w:iCs w:val="false"/>
          <w:strike w:val="false"/>
          <w:color w:val="000000"/>
          <w:sz w:val="24"/>
          <w:szCs w:val="24"/>
        </w:rPr>
        <w:t xml:space="preserve"> dans un déploiement réel avec des milliers d'élèves, chacun avec sa propre mémoire externe croissante, la scalabilité est un obstacle majeur non adressé. Le rapport ne discute ni de la taille attendue de la mémoire par élève, ni des stratégies de garbage collection, ni des politiques d'éviction.</w:t>
      </w:r>
    </w:p>
    <w:p>
      <w:pPr>
        <w:pStyle w:val="Heading2"/>
        <w:spacing w:after="120" w:before="360" w:line="312" w:lineRule="auto"/>
      </w:pPr>
      <w:r>
        <w:rPr>
          <w:rFonts w:ascii="Cambria" w:cs="Cambria" w:eastAsia="Cambria" w:hAnsi="Cambria"/>
          <w:color w:val="1A1A1A"/>
          <w:sz w:val="36"/>
          <w:szCs w:val="36"/>
        </w:rPr>
        <w:t xml:space="preserve">4.2 RISQUE #2 — Mesure en temps réel de P(t), H(t), C(t)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60" w:line="384" w:lineRule="auto"/>
            </w:pPr>
            <w:r>
              <w:rPr>
                <w:rFonts w:ascii="Constantia" w:cs="Constantia" w:eastAsia="Constantia" w:hAnsi="Constantia"/>
                <w:b/>
                <w:bCs/>
                <w:i w:val="false"/>
                <w:iCs w:val="false"/>
                <w:strike w:val="false"/>
                <w:color w:val="000000"/>
                <w:sz w:val="24"/>
                <w:szCs w:val="24"/>
              </w:rPr>
              <w:t xml:space="preserve">Niveau : ÉLEVÉ</w:t>
            </w:r>
          </w:p>
        </w:tc>
      </w:tr>
    </w:tbl>
    <w:p>
      <w:pPr>
        <w:spacing w:after="240" w:before="0"/>
      </w:pP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Le rapport reconnaît ce problème en discussion mais le sous-estime significativement. La mesure de la charge cognitive en temps réel est un défi ouvert majeur qui fait l'objet de recherches actives depuis plus de deux décennies. Les approches existantes ont toutes des limitations sévères :</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EEG / fNIRS :</w:t>
      </w:r>
      <w:r>
        <w:rPr>
          <w:rFonts w:ascii="Constantia" w:cs="Constantia" w:eastAsia="Constantia" w:hAnsi="Constantia"/>
          <w:b w:val="false"/>
          <w:bCs w:val="false"/>
          <w:i w:val="false"/>
          <w:iCs w:val="false"/>
          <w:strike w:val="false"/>
          <w:color w:val="000000"/>
          <w:sz w:val="24"/>
          <w:szCs w:val="24"/>
        </w:rPr>
        <w:t xml:space="preserve"> mesures neurophysiologiques directes mais intrusives, coûteuses, et pas scalables en contexte scolaire. Gkintoni et al. (</w:t>
      </w:r>
      <w:r>
        <w:rPr>
          <w:rFonts w:ascii="Constantia" w:cs="Constantia" w:eastAsia="Constantia" w:hAnsi="Constantia"/>
          <w:b w:val="false"/>
          <w:bCs w:val="false"/>
          <w:i/>
          <w:iCs/>
          <w:strike w:val="false"/>
          <w:color w:val="000000"/>
          <w:sz w:val="24"/>
          <w:szCs w:val="24"/>
        </w:rPr>
        <w:t xml:space="preserve">Brain Sciences</w:t>
      </w:r>
      <w:r>
        <w:rPr>
          <w:rFonts w:ascii="Constantia" w:cs="Constantia" w:eastAsia="Constantia" w:hAnsi="Constantia"/>
          <w:b w:val="false"/>
          <w:bCs w:val="false"/>
          <w:i w:val="false"/>
          <w:iCs w:val="false"/>
          <w:strike w:val="false"/>
          <w:color w:val="000000"/>
          <w:sz w:val="24"/>
          <w:szCs w:val="24"/>
        </w:rPr>
        <w:t xml:space="preserve">, 2025) documentent les progrès mais aussi les limitations persistantes de ces approches.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Eye-tracking :</w:t>
      </w:r>
      <w:r>
        <w:rPr>
          <w:rFonts w:ascii="Constantia" w:cs="Constantia" w:eastAsia="Constantia" w:hAnsi="Constantia"/>
          <w:b w:val="false"/>
          <w:bCs w:val="false"/>
          <w:i w:val="false"/>
          <w:iCs w:val="false"/>
          <w:strike w:val="false"/>
          <w:color w:val="000000"/>
          <w:sz w:val="24"/>
          <w:szCs w:val="24"/>
        </w:rPr>
        <w:t xml:space="preserve"> proxy partiel qui ne capture que l'attention visuelle. La fixation oculaire est corrélée avec la charge cognitive mais la relation n'est ni linéaire ni univoque.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Données comportementales :</w:t>
      </w:r>
      <w:r>
        <w:rPr>
          <w:rFonts w:ascii="Constantia" w:cs="Constantia" w:eastAsia="Constantia" w:hAnsi="Constantia"/>
          <w:b w:val="false"/>
          <w:bCs w:val="false"/>
          <w:i w:val="false"/>
          <w:iCs w:val="false"/>
          <w:strike w:val="false"/>
          <w:color w:val="000000"/>
          <w:sz w:val="24"/>
          <w:szCs w:val="24"/>
        </w:rPr>
        <w:t xml:space="preserve"> temps de réponse, patterns de clic, fréquence des pauses — ce sont des proxies indirects avec un bruit élevé et des facteurs de confusion nombreux (fatigue, distraction, difficulté intrinsèque du contenu).</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Auto-évaluation :</w:t>
      </w:r>
      <w:r>
        <w:rPr>
          <w:rFonts w:ascii="Constantia" w:cs="Constantia" w:eastAsia="Constantia" w:hAnsi="Constantia"/>
          <w:b w:val="false"/>
          <w:bCs w:val="false"/>
          <w:i w:val="false"/>
          <w:iCs w:val="false"/>
          <w:strike w:val="false"/>
          <w:color w:val="000000"/>
          <w:sz w:val="24"/>
          <w:szCs w:val="24"/>
        </w:rPr>
        <w:t xml:space="preserve"> biais de subjectivité, effet Dunning-Kruger, et paradoxe de la charge supplémentaire — demander à l'élève d'évaluer sa charge cognitive augmente sa charge cognitive.</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Pour H(t) (connexion pédagogique), le problème est encore plus grave : il n'existe </w:t>
      </w:r>
      <w:r>
        <w:rPr>
          <w:rFonts w:ascii="Constantia" w:cs="Constantia" w:eastAsia="Constantia" w:hAnsi="Constantia"/>
          <w:b/>
          <w:bCs/>
          <w:i w:val="false"/>
          <w:iCs w:val="false"/>
          <w:strike w:val="false"/>
          <w:color w:val="000000"/>
          <w:sz w:val="24"/>
          <w:szCs w:val="24"/>
        </w:rPr>
        <w:t xml:space="preserve">aucune métrique consensuelle</w:t>
      </w:r>
      <w:r>
        <w:rPr>
          <w:rFonts w:ascii="Constantia" w:cs="Constantia" w:eastAsia="Constantia" w:hAnsi="Constantia"/>
          <w:b w:val="false"/>
          <w:bCs w:val="false"/>
          <w:i w:val="false"/>
          <w:iCs w:val="false"/>
          <w:strike w:val="false"/>
          <w:color w:val="000000"/>
          <w:sz w:val="24"/>
          <w:szCs w:val="24"/>
        </w:rPr>
        <w:t xml:space="preserve"> dans la littérature. Le concept est subjectif par nature et résiste à la quantification.</w:t>
      </w:r>
    </w:p>
    <w:p>
      <w:pPr>
        <w:spacing w:after="120" w:before="60" w:line="384" w:lineRule="auto"/>
      </w:pPr>
      <w:r>
        <w:rPr>
          <w:rFonts w:ascii="Constantia" w:cs="Constantia" w:eastAsia="Constantia" w:hAnsi="Constantia"/>
          <w:b/>
          <w:bCs/>
          <w:i w:val="false"/>
          <w:iCs w:val="false"/>
          <w:strike w:val="false"/>
          <w:color w:val="000000"/>
          <w:sz w:val="24"/>
          <w:szCs w:val="24"/>
        </w:rPr>
        <w:t xml:space="preserve">Impact :</w:t>
      </w:r>
      <w:r>
        <w:rPr>
          <w:rFonts w:ascii="Constantia" w:cs="Constantia" w:eastAsia="Constantia" w:hAnsi="Constantia"/>
          <w:b w:val="false"/>
          <w:bCs w:val="false"/>
          <w:i w:val="false"/>
          <w:iCs w:val="false"/>
          <w:strike w:val="false"/>
          <w:color w:val="000000"/>
          <w:sz w:val="24"/>
          <w:szCs w:val="24"/>
        </w:rPr>
        <w:t xml:space="preserve"> sans mesure fiable des trois variables, l'équation ϟP(t) = P(t) · H(t) · e</w:t>
      </w:r>
      <w:r>
        <w:rPr>
          <w:rFonts w:ascii="Constantia" w:cs="Constantia" w:eastAsia="Constantia" w:hAnsi="Constantia"/>
          <w:b w:val="false"/>
          <w:bCs w:val="false"/>
          <w:i w:val="false"/>
          <w:iCs w:val="false"/>
          <w:strike w:val="false"/>
          <w:color w:val="000000"/>
          <w:sz w:val="24"/>
          <w:szCs w:val="24"/>
          <w:vertAlign w:val="superscript"/>
        </w:rPr>
        <w:t xml:space="preserve">−αC(t)</w:t>
      </w:r>
      <w:r>
        <w:rPr>
          <w:rFonts w:ascii="Constantia" w:cs="Constantia" w:eastAsia="Constantia" w:hAnsi="Constantia"/>
          <w:b w:val="false"/>
          <w:bCs w:val="false"/>
          <w:i w:val="false"/>
          <w:iCs w:val="false"/>
          <w:strike w:val="false"/>
          <w:color w:val="000000"/>
          <w:sz w:val="24"/>
          <w:szCs w:val="24"/>
        </w:rPr>
        <w:t xml:space="preserve"> reste purement théorique et non-opérationnelle. L'architecture repose sur un capteur qui n'existe pas.</w:t>
      </w:r>
    </w:p>
    <w:p>
      <w:pPr>
        <w:pStyle w:val="Heading2"/>
        <w:spacing w:after="120" w:before="360" w:line="312" w:lineRule="auto"/>
      </w:pPr>
      <w:r>
        <w:rPr>
          <w:rFonts w:ascii="Cambria" w:cs="Cambria" w:eastAsia="Cambria" w:hAnsi="Cambria"/>
          <w:color w:val="1A1A1A"/>
          <w:sz w:val="36"/>
          <w:szCs w:val="36"/>
        </w:rPr>
        <w:t xml:space="preserve">4.3 RISQUE #3 — Cold start et calibration de α</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60" w:line="384" w:lineRule="auto"/>
            </w:pPr>
            <w:r>
              <w:rPr>
                <w:rFonts w:ascii="Constantia" w:cs="Constantia" w:eastAsia="Constantia" w:hAnsi="Constantia"/>
                <w:b/>
                <w:bCs/>
                <w:i w:val="false"/>
                <w:iCs w:val="false"/>
                <w:strike w:val="false"/>
                <w:color w:val="000000"/>
                <w:sz w:val="24"/>
                <w:szCs w:val="24"/>
              </w:rPr>
              <w:t xml:space="preserve">Niveau : MODÉRÉ</w:t>
            </w:r>
          </w:p>
        </w:tc>
      </w:tr>
    </w:tbl>
    <w:p>
      <w:pPr>
        <w:spacing w:after="240" w:before="0"/>
      </w:pP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Le paramètre α (sensibilité individuelle à la surcharge cognitive) nécessite une calibration personnalisée pour chaque apprenant. Pour un nouvel élève, le système ne dispose d'aucune donnée — c'est le problème classique du </w:t>
      </w:r>
      <w:r>
        <w:rPr>
          <w:rFonts w:ascii="Constantia" w:cs="Constantia" w:eastAsia="Constantia" w:hAnsi="Constantia"/>
          <w:b w:val="false"/>
          <w:bCs w:val="false"/>
          <w:i/>
          <w:iCs/>
          <w:strike w:val="false"/>
          <w:color w:val="000000"/>
          <w:sz w:val="24"/>
          <w:szCs w:val="24"/>
        </w:rPr>
        <w:t xml:space="preserve">cold start</w:t>
      </w:r>
      <w:r>
        <w:rPr>
          <w:rFonts w:ascii="Constantia" w:cs="Constantia" w:eastAsia="Constantia" w:hAnsi="Constantia"/>
          <w:b w:val="false"/>
          <w:bCs w:val="false"/>
          <w:i w:val="false"/>
          <w:iCs w:val="false"/>
          <w:strike w:val="false"/>
          <w:color w:val="000000"/>
          <w:sz w:val="24"/>
          <w:szCs w:val="24"/>
        </w:rPr>
        <w:t xml:space="preserve"> bien connu en systèmes de recommandation et en apprentissage personnalisé.</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Le rapport ne propose aucune solution à ce problème. Les approches standard incluent : prior bayésien initialisé sur une population de référence, transfert de paramètres depuis des apprenants similaires, questionnaire initial de calibration, ou phase d'exploration avec un α conservateur. L'absence de discussion sur ce point est une lacune significative pour tout déploiement réel.</w:t>
      </w:r>
    </w:p>
    <w:p>
      <w:pPr>
        <w:pStyle w:val="Heading2"/>
        <w:spacing w:after="120" w:before="360" w:line="312" w:lineRule="auto"/>
      </w:pPr>
      <w:r>
        <w:rPr>
          <w:rFonts w:ascii="Cambria" w:cs="Cambria" w:eastAsia="Cambria" w:hAnsi="Cambria"/>
          <w:color w:val="1A1A1A"/>
          <w:sz w:val="36"/>
          <w:szCs w:val="36"/>
        </w:rPr>
        <w:t xml:space="preserve">4.4 RISQUE #4 — Explosion combinatoire des garde-fous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60" w:line="384" w:lineRule="auto"/>
            </w:pPr>
            <w:r>
              <w:rPr>
                <w:rFonts w:ascii="Constantia" w:cs="Constantia" w:eastAsia="Constantia" w:hAnsi="Constantia"/>
                <w:b/>
                <w:bCs/>
                <w:i w:val="false"/>
                <w:iCs w:val="false"/>
                <w:strike w:val="false"/>
                <w:color w:val="000000"/>
                <w:sz w:val="24"/>
                <w:szCs w:val="24"/>
              </w:rPr>
              <w:t xml:space="preserve">Niveau : MODÉRÉ</w:t>
            </w:r>
          </w:p>
        </w:tc>
      </w:tr>
    </w:tbl>
    <w:p>
      <w:pPr>
        <w:spacing w:after="240" w:before="0"/>
      </w:pP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Le système propose un total de 29 invariants + 16 GM + 16 GE + 13 GA + 15 GS + 9 GN + 12 GP + 11 GC = </w:t>
      </w:r>
      <w:r>
        <w:rPr>
          <w:rFonts w:ascii="Constantia" w:cs="Constantia" w:eastAsia="Constantia" w:hAnsi="Constantia"/>
          <w:b/>
          <w:bCs/>
          <w:i w:val="false"/>
          <w:iCs w:val="false"/>
          <w:strike w:val="false"/>
          <w:color w:val="000000"/>
          <w:sz w:val="24"/>
          <w:szCs w:val="24"/>
        </w:rPr>
        <w:t xml:space="preserve">121 garde-fous et invariants</w:t>
      </w:r>
      <w:r>
        <w:rPr>
          <w:rFonts w:ascii="Constantia" w:cs="Constantia" w:eastAsia="Constantia" w:hAnsi="Constantia"/>
          <w:b w:val="false"/>
          <w:bCs w:val="false"/>
          <w:i w:val="false"/>
          <w:iCs w:val="false"/>
          <w:strike w:val="false"/>
          <w:color w:val="000000"/>
          <w:sz w:val="24"/>
          <w:szCs w:val="24"/>
        </w:rPr>
        <w:t xml:space="preserve">. La vérification de tous ces garde-fous à chaque pas de temps crée une explosion combinatoire potentielle.</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Questions non résolues : quelles sont les priorités entre garde-fous ? Que se passe-t-il quand deux garde-fous entrent en conflit (ex. un garde-fou mémoriel qui demande de stocker une information vs un garde-fou de charge qui demande de réduire l'activité) ? Le rapport ne fournit pas de protocole de résolution de conflits entre garde-fous. Le mécanisme PNC-01 existe pour les conflits cognitifs de l'apprenant, mais il n'est pas appliqué aux conflits inter-garde-fous du système lui-même.</w:t>
      </w:r>
    </w:p>
    <w:p>
      <w:pPr>
        <w:pStyle w:val="Heading2"/>
        <w:spacing w:after="120" w:before="360" w:line="312" w:lineRule="auto"/>
      </w:pPr>
      <w:r>
        <w:rPr>
          <w:rFonts w:ascii="Cambria" w:cs="Cambria" w:eastAsia="Cambria" w:hAnsi="Cambria"/>
          <w:color w:val="1A1A1A"/>
          <w:sz w:val="36"/>
          <w:szCs w:val="36"/>
        </w:rPr>
        <w:t xml:space="preserve">4.5 RISQUE #5 — Dépendance à un cadre propriétaire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60" w:line="384" w:lineRule="auto"/>
            </w:pPr>
            <w:r>
              <w:rPr>
                <w:rFonts w:ascii="Constantia" w:cs="Constantia" w:eastAsia="Constantia" w:hAnsi="Constantia"/>
                <w:b/>
                <w:bCs/>
                <w:i w:val="false"/>
                <w:iCs w:val="false"/>
                <w:strike w:val="false"/>
                <w:color w:val="000000"/>
                <w:sz w:val="24"/>
                <w:szCs w:val="24"/>
              </w:rPr>
              <w:t xml:space="preserve">Niveau : MODÉRÉ</w:t>
            </w:r>
          </w:p>
        </w:tc>
      </w:tr>
    </w:tbl>
    <w:p>
      <w:pPr>
        <w:spacing w:after="240" w:before="0"/>
      </w:pP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Blueprint/Askio1 est un cadre propriétaire développé par un seul auteur. La reproductibilité scientifique exige que les cadres utilisés soient : (a) publiés dans des venues peer-reviewed, (b) implémentés dans du code open-source accessible, (c) utilisés et validés par d'autres chercheurs indépendants. Actuellement, Blueprint ne remplit </w:t>
      </w:r>
      <w:r>
        <w:rPr>
          <w:rFonts w:ascii="Constantia" w:cs="Constantia" w:eastAsia="Constantia" w:hAnsi="Constantia"/>
          <w:b/>
          <w:bCs/>
          <w:i w:val="false"/>
          <w:iCs w:val="false"/>
          <w:strike w:val="false"/>
          <w:color w:val="000000"/>
          <w:sz w:val="24"/>
          <w:szCs w:val="24"/>
        </w:rPr>
        <w:t xml:space="preserve">aucune</w:t>
      </w:r>
      <w:r>
        <w:rPr>
          <w:rFonts w:ascii="Constantia" w:cs="Constantia" w:eastAsia="Constantia" w:hAnsi="Constantia"/>
          <w:b w:val="false"/>
          <w:bCs w:val="false"/>
          <w:i w:val="false"/>
          <w:iCs w:val="false"/>
          <w:strike w:val="false"/>
          <w:color w:val="000000"/>
          <w:sz w:val="24"/>
          <w:szCs w:val="24"/>
        </w:rPr>
        <w:t xml:space="preserve"> de ces trois conditions.</w:t>
      </w:r>
    </w:p>
    <w:p>
      <w:pPr>
        <w:spacing w:after="120" w:before="60" w:line="384" w:lineRule="auto"/>
      </w:pPr>
      <w:r>
        <w:rPr>
          <w:rFonts w:ascii="Constantia" w:cs="Constantia" w:eastAsia="Constantia" w:hAnsi="Constantia"/>
          <w:b/>
          <w:bCs/>
          <w:i w:val="false"/>
          <w:iCs w:val="false"/>
          <w:strike w:val="false"/>
          <w:color w:val="000000"/>
          <w:sz w:val="24"/>
          <w:szCs w:val="24"/>
        </w:rPr>
        <w:t xml:space="preserve">Impact :</w:t>
      </w:r>
      <w:r>
        <w:rPr>
          <w:rFonts w:ascii="Constantia" w:cs="Constantia" w:eastAsia="Constantia" w:hAnsi="Constantia"/>
          <w:b w:val="false"/>
          <w:bCs w:val="false"/>
          <w:i w:val="false"/>
          <w:iCs w:val="false"/>
          <w:strike w:val="false"/>
          <w:color w:val="000000"/>
          <w:sz w:val="24"/>
          <w:szCs w:val="24"/>
        </w:rPr>
        <w:t xml:space="preserve"> un reviewer externe ne peut pas vérifier la cohérence interne des 121 garde-fous et invariants sans accès au code source et à la spécification complète. La confiance dans le cadre repose uniquement sur la parole de l'auteur — ce qui est insuffisant pour un standard scientifique. Aucune communauté de chercheurs n'a pu tester, critiquer ou améliorer le cadre de manière indépendante.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84" w:lineRule="auto"/>
            </w:pPr>
            <w:r>
              <w:rPr>
                <w:rFonts w:ascii="Constantia" w:cs="Constantia" w:eastAsia="Constantia" w:hAnsi="Constantia"/>
                <w:b/>
                <w:bCs/>
                <w:i w:val="false"/>
                <w:iCs w:val="false"/>
                <w:strike w:val="false"/>
                <w:color w:val="000000"/>
                <w:sz w:val="24"/>
                <w:szCs w:val="24"/>
              </w:rPr>
              <w:t xml:space="preserve">Recommandation R10</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Publier les spécifications Blueprint en open-source (ex. GitHub/GitLab), idéalement avec une implémentation de référence. Soumettre le cadre lui-même à un peer review séparé avant de l'utiliser comme fondation pour d'autres travaux de recherche.</w:t>
            </w:r>
          </w:p>
        </w:tc>
      </w:tr>
    </w:tbl>
    <w:p>
      <w:pPr>
        <w:spacing w:after="240" w:before="0"/>
      </w:pPr>
    </w:p>
    <w:p>
      <w:pPr>
        <w:pStyle w:val="Heading1"/>
        <w:spacing w:after="120" w:before="480" w:line="312" w:lineRule="auto"/>
      </w:pPr>
      <w:r>
        <w:rPr>
          <w:rFonts w:ascii="Cambria" w:cs="Cambria" w:eastAsia="Cambria" w:hAnsi="Cambria"/>
          <w:color w:val="1A1A1A"/>
          <w:sz w:val="48"/>
          <w:szCs w:val="48"/>
        </w:rPr>
        <w:t xml:space="preserve">Section 5 — Risques éthiques et sociétaux</w:t>
      </w:r>
    </w:p>
    <w:p>
      <w:pPr>
        <w:pStyle w:val="Heading2"/>
        <w:spacing w:after="120" w:before="360" w:line="312" w:lineRule="auto"/>
      </w:pPr>
      <w:r>
        <w:rPr>
          <w:rFonts w:ascii="Cambria" w:cs="Cambria" w:eastAsia="Cambria" w:hAnsi="Cambria"/>
          <w:color w:val="1A1A1A"/>
          <w:sz w:val="36"/>
          <w:szCs w:val="36"/>
        </w:rPr>
        <w:t xml:space="preserve">5.1 RISQUE #6 — Surveillance cognitive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180"/>
              <w:bottom w:type="dxa" w:w="180"/>
              <w:right w:type="dxa" w:w="180"/>
            </w:tcMar>
          </w:tcPr>
          <w:p>
            <w:pPr>
              <w:spacing w:after="60" w:line="384" w:lineRule="auto"/>
            </w:pPr>
            <w:r>
              <w:rPr>
                <w:rFonts w:ascii="Constantia" w:cs="Constantia" w:eastAsia="Constantia" w:hAnsi="Constantia"/>
                <w:b/>
                <w:bCs/>
                <w:i w:val="false"/>
                <w:iCs w:val="false"/>
                <w:strike w:val="false"/>
                <w:color w:val="000000"/>
                <w:sz w:val="24"/>
                <w:szCs w:val="24"/>
              </w:rPr>
              <w:t xml:space="preserve">Niveau : CRITIQUE</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Ce risque est le plus grave sur le plan sociétal et le plus sous-traité dans le rapport.</w:t>
            </w:r>
          </w:p>
        </w:tc>
      </w:tr>
    </w:tbl>
    <w:p>
      <w:pPr>
        <w:spacing w:after="240" w:before="0"/>
      </w:pP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Un système qui mesure en temps réel la présence attentionnelle (P), la connexion pédagogique (H) et la charge cognitive (C) d'un élève est, par définition, un </w:t>
      </w:r>
      <w:r>
        <w:rPr>
          <w:rFonts w:ascii="Constantia" w:cs="Constantia" w:eastAsia="Constantia" w:hAnsi="Constantia"/>
          <w:b/>
          <w:bCs/>
          <w:i w:val="false"/>
          <w:iCs w:val="false"/>
          <w:strike w:val="false"/>
          <w:color w:val="000000"/>
          <w:sz w:val="24"/>
          <w:szCs w:val="24"/>
        </w:rPr>
        <w:t xml:space="preserve">système de surveillance cognitive</w:t>
      </w:r>
      <w:r>
        <w:rPr>
          <w:rFonts w:ascii="Constantia" w:cs="Constantia" w:eastAsia="Constantia" w:hAnsi="Constantia"/>
          <w:b w:val="false"/>
          <w:bCs w:val="false"/>
          <w:i w:val="false"/>
          <w:iCs w:val="false"/>
          <w:strike w:val="false"/>
          <w:color w:val="000000"/>
          <w:sz w:val="24"/>
          <w:szCs w:val="24"/>
        </w:rPr>
        <w:t xml:space="preserve">. Zhu, Sun &amp; Yang (</w:t>
      </w:r>
      <w:r>
        <w:rPr>
          <w:rFonts w:ascii="Constantia" w:cs="Constantia" w:eastAsia="Constantia" w:hAnsi="Constantia"/>
          <w:b w:val="false"/>
          <w:bCs w:val="false"/>
          <w:i/>
          <w:iCs/>
          <w:strike w:val="false"/>
          <w:color w:val="000000"/>
          <w:sz w:val="24"/>
          <w:szCs w:val="24"/>
        </w:rPr>
        <w:t xml:space="preserve">Humanities and Social Sciences Communications</w:t>
      </w:r>
      <w:r>
        <w:rPr>
          <w:rFonts w:ascii="Constantia" w:cs="Constantia" w:eastAsia="Constantia" w:hAnsi="Constantia"/>
          <w:b w:val="false"/>
          <w:bCs w:val="false"/>
          <w:i w:val="false"/>
          <w:iCs w:val="false"/>
          <w:strike w:val="false"/>
          <w:color w:val="000000"/>
          <w:sz w:val="24"/>
          <w:szCs w:val="24"/>
        </w:rPr>
        <w:t xml:space="preserve">, Nature, 2025) identifient 14 risques éthiques majeurs en IA éducative, parmi lesquels :</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Invasion de la vie privée (privacy invasion) :</w:t>
      </w:r>
      <w:r>
        <w:rPr>
          <w:rFonts w:ascii="Constantia" w:cs="Constantia" w:eastAsia="Constantia" w:hAnsi="Constantia"/>
          <w:b w:val="false"/>
          <w:bCs w:val="false"/>
          <w:i w:val="false"/>
          <w:iCs w:val="false"/>
          <w:strike w:val="false"/>
          <w:color w:val="000000"/>
          <w:sz w:val="24"/>
          <w:szCs w:val="24"/>
        </w:rPr>
        <w:t xml:space="preserve"> la collecte de données cognitives en continu crée un profil intime et détaillé de l'élève — ses difficultés, ses moments de décrochage, ses passions, ses vulnérabilités cognitives.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Fuite de données (data leakage) :</w:t>
      </w:r>
      <w:r>
        <w:rPr>
          <w:rFonts w:ascii="Constantia" w:cs="Constantia" w:eastAsia="Constantia" w:hAnsi="Constantia"/>
          <w:b w:val="false"/>
          <w:bCs w:val="false"/>
          <w:i w:val="false"/>
          <w:iCs w:val="false"/>
          <w:strike w:val="false"/>
          <w:color w:val="000000"/>
          <w:sz w:val="24"/>
          <w:szCs w:val="24"/>
        </w:rPr>
        <w:t xml:space="preserve"> ces données cognitives sont hautement sensibles et constituent une cible de choix pour des acteurs malveillants. Un profil cognitif complet a une valeur marchande considérable.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Biais algorithmique (algorithmic bias) :</w:t>
      </w:r>
      <w:r>
        <w:rPr>
          <w:rFonts w:ascii="Constantia" w:cs="Constantia" w:eastAsia="Constantia" w:hAnsi="Constantia"/>
          <w:b w:val="false"/>
          <w:bCs w:val="false"/>
          <w:i w:val="false"/>
          <w:iCs w:val="false"/>
          <w:strike w:val="false"/>
          <w:color w:val="000000"/>
          <w:sz w:val="24"/>
          <w:szCs w:val="24"/>
        </w:rPr>
        <w:t xml:space="preserve"> le système pourrait discriminer des profils d'apprentissage non-conformes — des élèves neuroatypiques, des apprenants lents mais profonds, des profils créatifs non-linéaires.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Boîte noire algorithmique (black box) :</w:t>
      </w:r>
      <w:r>
        <w:rPr>
          <w:rFonts w:ascii="Constantia" w:cs="Constantia" w:eastAsia="Constantia" w:hAnsi="Constantia"/>
          <w:b w:val="false"/>
          <w:bCs w:val="false"/>
          <w:i w:val="false"/>
          <w:iCs w:val="false"/>
          <w:strike w:val="false"/>
          <w:color w:val="000000"/>
          <w:sz w:val="24"/>
          <w:szCs w:val="24"/>
        </w:rPr>
        <w:t xml:space="preserve"> les décisions de régulation du curriculum (quand ralentir, quand changer de sujet, quand forcer une pause) ne sont pas explicables à l'apprenant ou à ses parents.</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Le rapport ne traite ces risques que superficiellement en discussion — une seule ligne mentionne « questions éthiques : vie privée des données d'apprentissage, biais dans le curriculum adaptatif ». Pour un système qui prétend monitorer l'état cognitif d'enfants et d'adolescents en temps réel, cette traitement est dramatiquement insuffisant.</w:t>
      </w:r>
    </w:p>
    <w:p>
      <w:pPr>
        <w:spacing w:after="120" w:before="60" w:line="384" w:lineRule="auto"/>
      </w:pPr>
      <w:r>
        <w:rPr>
          <w:rFonts w:ascii="Constantia" w:cs="Constantia" w:eastAsia="Constantia" w:hAnsi="Constantia"/>
          <w:b/>
          <w:bCs/>
          <w:i w:val="false"/>
          <w:iCs w:val="false"/>
          <w:strike w:val="false"/>
          <w:color w:val="000000"/>
          <w:sz w:val="24"/>
          <w:szCs w:val="24"/>
        </w:rPr>
        <w:t xml:space="preserve">Référence :</w:t>
      </w:r>
      <w:r>
        <w:rPr>
          <w:rFonts w:ascii="Constantia" w:cs="Constantia" w:eastAsia="Constantia" w:hAnsi="Constantia"/>
          <w:b w:val="false"/>
          <w:bCs w:val="false"/>
          <w:i w:val="false"/>
          <w:iCs w:val="false"/>
          <w:strike w:val="false"/>
          <w:color w:val="000000"/>
          <w:sz w:val="24"/>
          <w:szCs w:val="24"/>
        </w:rPr>
        <w:t xml:space="preserve"> García-López &amp; Trujillo-Liñán (</w:t>
      </w:r>
      <w:r>
        <w:rPr>
          <w:rFonts w:ascii="Constantia" w:cs="Constantia" w:eastAsia="Constantia" w:hAnsi="Constantia"/>
          <w:b w:val="false"/>
          <w:bCs w:val="false"/>
          <w:i/>
          <w:iCs/>
          <w:strike w:val="false"/>
          <w:color w:val="000000"/>
          <w:sz w:val="24"/>
          <w:szCs w:val="24"/>
        </w:rPr>
        <w:t xml:space="preserve">Frontiers in Education</w:t>
      </w:r>
      <w:r>
        <w:rPr>
          <w:rFonts w:ascii="Constantia" w:cs="Constantia" w:eastAsia="Constantia" w:hAnsi="Constantia"/>
          <w:b w:val="false"/>
          <w:bCs w:val="false"/>
          <w:i w:val="false"/>
          <w:iCs w:val="false"/>
          <w:strike w:val="false"/>
          <w:color w:val="000000"/>
          <w:sz w:val="24"/>
          <w:szCs w:val="24"/>
        </w:rPr>
        <w:t xml:space="preserve">, 2025) soulignent que la </w:t>
      </w:r>
      <w:r>
        <w:rPr>
          <w:rFonts w:ascii="Constantia" w:cs="Constantia" w:eastAsia="Constantia" w:hAnsi="Constantia"/>
          <w:b/>
          <w:bCs/>
          <w:i w:val="false"/>
          <w:iCs w:val="false"/>
          <w:strike w:val="false"/>
          <w:color w:val="000000"/>
          <w:sz w:val="24"/>
          <w:szCs w:val="24"/>
        </w:rPr>
        <w:t xml:space="preserve">perte d'autonomie cognitive</w:t>
      </w:r>
      <w:r>
        <w:rPr>
          <w:rFonts w:ascii="Constantia" w:cs="Constantia" w:eastAsia="Constantia" w:hAnsi="Constantia"/>
          <w:b w:val="false"/>
          <w:bCs w:val="false"/>
          <w:i w:val="false"/>
          <w:iCs w:val="false"/>
          <w:strike w:val="false"/>
          <w:color w:val="000000"/>
          <w:sz w:val="24"/>
          <w:szCs w:val="24"/>
        </w:rPr>
        <w:t xml:space="preserve"> est un risque spécifique et sous-estimé de l'IA éducative adaptative : si le système décide quand l'élève doit faire une pause, quand changer de sujet, quand simplifier le contenu, c'est le système qui contrôle la cognition de l'élève, pas l'élève lui-même.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84" w:lineRule="auto"/>
            </w:pPr>
            <w:r>
              <w:rPr>
                <w:rFonts w:ascii="Constantia" w:cs="Constantia" w:eastAsia="Constantia" w:hAnsi="Constantia"/>
                <w:b/>
                <w:bCs/>
                <w:i w:val="false"/>
                <w:iCs w:val="false"/>
                <w:strike w:val="false"/>
                <w:color w:val="000000"/>
                <w:sz w:val="24"/>
                <w:szCs w:val="24"/>
              </w:rPr>
              <w:t xml:space="preserve">Recommandation R4</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Consacrer une section entière du rapport (minimum 2 pages) aux risques éthiques, avec une analyse approfondie de chaque risque identifié par la littérature, des mécanismes d'atténuation spécifiques et concrets, et une discussion du consentement éclairé — particulièrement complexe quand les utilisateurs sont des mineurs.</w:t>
            </w:r>
          </w:p>
        </w:tc>
      </w:tr>
    </w:tbl>
    <w:p>
      <w:pPr>
        <w:spacing w:after="240" w:before="0"/>
      </w:pPr>
    </w:p>
    <w:p>
      <w:pPr>
        <w:pStyle w:val="Heading2"/>
        <w:spacing w:after="120" w:before="360" w:line="312" w:lineRule="auto"/>
      </w:pPr>
      <w:r>
        <w:rPr>
          <w:rFonts w:ascii="Cambria" w:cs="Cambria" w:eastAsia="Cambria" w:hAnsi="Cambria"/>
          <w:color w:val="1A1A1A"/>
          <w:sz w:val="36"/>
          <w:szCs w:val="36"/>
        </w:rPr>
        <w:t xml:space="preserve">5.2 RISQUE #7 — Homogénéisation des parcours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60" w:line="384" w:lineRule="auto"/>
            </w:pPr>
            <w:r>
              <w:rPr>
                <w:rFonts w:ascii="Constantia" w:cs="Constantia" w:eastAsia="Constantia" w:hAnsi="Constantia"/>
                <w:b/>
                <w:bCs/>
                <w:i w:val="false"/>
                <w:iCs w:val="false"/>
                <w:strike w:val="false"/>
                <w:color w:val="000000"/>
                <w:sz w:val="24"/>
                <w:szCs w:val="24"/>
              </w:rPr>
              <w:t xml:space="preserve">Niveau : ÉLEVÉ</w:t>
            </w:r>
          </w:p>
        </w:tc>
      </w:tr>
    </w:tbl>
    <w:p>
      <w:pPr>
        <w:spacing w:after="240" w:before="0"/>
      </w:pP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Le concept de « corridor » implique que le système canalise l'apprentissage dans un ensemble restreint de trajectoires pré-approuvées. Si le corridor est trop étroit — c'est-à-dire si ε est petit et la fonction de distance d(·,·) est rigide — il homogénéise les parcours : tous les élèves convergent vers le même attracteur par le même chemin optimisé. Cela contredit la diversité cognitive, la créativité, et la sérendipité qui sont des composantes essentielles de l'apprentissage humain.</w:t>
      </w:r>
    </w:p>
    <w:p>
      <w:pPr>
        <w:spacing w:after="120" w:before="60" w:line="384" w:lineRule="auto"/>
      </w:pPr>
      <w:r>
        <w:rPr>
          <w:rFonts w:ascii="Constantia" w:cs="Constantia" w:eastAsia="Constantia" w:hAnsi="Constantia"/>
          <w:b/>
          <w:bCs/>
          <w:i w:val="false"/>
          <w:iCs w:val="false"/>
          <w:strike w:val="false"/>
          <w:color w:val="000000"/>
          <w:sz w:val="24"/>
          <w:szCs w:val="24"/>
        </w:rPr>
        <w:t xml:space="preserve">Paradoxe fondamental :</w:t>
      </w:r>
      <w:r>
        <w:rPr>
          <w:rFonts w:ascii="Constantia" w:cs="Constantia" w:eastAsia="Constantia" w:hAnsi="Constantia"/>
          <w:b w:val="false"/>
          <w:bCs w:val="false"/>
          <w:i w:val="false"/>
          <w:iCs w:val="false"/>
          <w:strike w:val="false"/>
          <w:color w:val="000000"/>
          <w:sz w:val="24"/>
          <w:szCs w:val="24"/>
        </w:rPr>
        <w:t xml:space="preserve"> le système prétend personnaliser l'apprentissage mais risque d'uniformiser si la notion de « distance à l'objectif » est définie de manière unique et universelle. Deux élèves avec des styles d'apprentissage différents (visuel vs verbal, séquentiel vs global, analytique vs intuitif) devraient pouvoir emprunter des corridors radicalement différents vers le même objectif. Le rapport ne discute pas de cette possibilité.</w:t>
      </w:r>
    </w:p>
    <w:p>
      <w:pPr>
        <w:pStyle w:val="Heading2"/>
        <w:spacing w:after="120" w:before="360" w:line="312" w:lineRule="auto"/>
      </w:pPr>
      <w:r>
        <w:rPr>
          <w:rFonts w:ascii="Cambria" w:cs="Cambria" w:eastAsia="Cambria" w:hAnsi="Cambria"/>
          <w:color w:val="1A1A1A"/>
          <w:sz w:val="36"/>
          <w:szCs w:val="36"/>
        </w:rPr>
        <w:t xml:space="preserve">5.3 RISQUE #8 — Remplacement de la relation humaine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60" w:line="384" w:lineRule="auto"/>
            </w:pPr>
            <w:r>
              <w:rPr>
                <w:rFonts w:ascii="Constantia" w:cs="Constantia" w:eastAsia="Constantia" w:hAnsi="Constantia"/>
                <w:b/>
                <w:bCs/>
                <w:i w:val="false"/>
                <w:iCs w:val="false"/>
                <w:strike w:val="false"/>
                <w:color w:val="000000"/>
                <w:sz w:val="24"/>
                <w:szCs w:val="24"/>
              </w:rPr>
              <w:t xml:space="preserve">Niveau : ÉLEVÉ</w:t>
            </w:r>
          </w:p>
        </w:tc>
      </w:tr>
    </w:tbl>
    <w:p>
      <w:pPr>
        <w:spacing w:after="240" w:before="0"/>
      </w:pP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L'ironie du paramètre H(t) (connexion humaine/pédagogique) est que le système qui prétend valoriser et optimiser la connexion humaine est lui-même un système automatisé qui pourrait </w:t>
      </w:r>
      <w:r>
        <w:rPr>
          <w:rFonts w:ascii="Constantia" w:cs="Constantia" w:eastAsia="Constantia" w:hAnsi="Constantia"/>
          <w:b w:val="false"/>
          <w:bCs w:val="false"/>
          <w:i/>
          <w:iCs/>
          <w:strike w:val="false"/>
          <w:color w:val="000000"/>
          <w:sz w:val="24"/>
          <w:szCs w:val="24"/>
        </w:rPr>
        <w:t xml:space="preserve">remplacer</w:t>
      </w:r>
      <w:r>
        <w:rPr>
          <w:rFonts w:ascii="Constantia" w:cs="Constantia" w:eastAsia="Constantia" w:hAnsi="Constantia"/>
          <w:b w:val="false"/>
          <w:bCs w:val="false"/>
          <w:i w:val="false"/>
          <w:iCs w:val="false"/>
          <w:strike w:val="false"/>
          <w:color w:val="000000"/>
          <w:sz w:val="24"/>
          <w:szCs w:val="24"/>
        </w:rPr>
        <w:t xml:space="preserve"> la connexion humaine réelle. Un tuteur IA qui simule un H(t) élevé — qui donne l'impression d'une relation pédagogique chaleureuse et personnalisée — peut être perçu par l'institution comme un substitut économiquement avantageux à l'enseignant humain.</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Zhu et al. (2025) identifient « teaching profession crisis » et « alienation of the teacher-student relationship » comme risques spécifiques de l'IA éducative. Le rapport devrait explicitement prendre position sur le rôle de l'enseignant humain dans l'architecture et garantir que le système est conçu comme un outil d'augmentation, pas de remplacement.</w:t>
      </w:r>
    </w:p>
    <w:p>
      <w:pPr>
        <w:pStyle w:val="Heading2"/>
        <w:spacing w:after="120" w:before="360" w:line="312" w:lineRule="auto"/>
      </w:pPr>
      <w:r>
        <w:rPr>
          <w:rFonts w:ascii="Cambria" w:cs="Cambria" w:eastAsia="Cambria" w:hAnsi="Cambria"/>
          <w:color w:val="1A1A1A"/>
          <w:sz w:val="36"/>
          <w:szCs w:val="36"/>
        </w:rPr>
        <w:t xml:space="preserve">5.4 RISQUE #9 — Paternalisme algorithmique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60" w:line="384" w:lineRule="auto"/>
            </w:pPr>
            <w:r>
              <w:rPr>
                <w:rFonts w:ascii="Constantia" w:cs="Constantia" w:eastAsia="Constantia" w:hAnsi="Constantia"/>
                <w:b/>
                <w:bCs/>
                <w:i w:val="false"/>
                <w:iCs w:val="false"/>
                <w:strike w:val="false"/>
                <w:color w:val="000000"/>
                <w:sz w:val="24"/>
                <w:szCs w:val="24"/>
              </w:rPr>
              <w:t xml:space="preserve">Niveau : MODÉRÉ</w:t>
            </w:r>
          </w:p>
        </w:tc>
      </w:tr>
    </w:tbl>
    <w:p>
      <w:pPr>
        <w:spacing w:after="240" w:before="0"/>
      </w:pP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Le mécanisme de refroidissement T4 (suspendre l'activité quand C(t) &gt; L, le seuil de surcharge) est intrinsèquement paternaliste : le système décide unilatéralement que l'élève doit s'arrêter. Or, dans certains cas, la surcharge cognitive est non seulement acceptable mais </w:t>
      </w:r>
      <w:r>
        <w:rPr>
          <w:rFonts w:ascii="Constantia" w:cs="Constantia" w:eastAsia="Constantia" w:hAnsi="Constantia"/>
          <w:b w:val="false"/>
          <w:bCs w:val="false"/>
          <w:i/>
          <w:iCs/>
          <w:strike w:val="false"/>
          <w:color w:val="000000"/>
          <w:sz w:val="24"/>
          <w:szCs w:val="24"/>
        </w:rPr>
        <w:t xml:space="preserve">productive</w:t>
      </w:r>
      <w:r>
        <w:rPr>
          <w:rFonts w:ascii="Constantia" w:cs="Constantia" w:eastAsia="Constantia" w:hAnsi="Constantia"/>
          <w:b w:val="false"/>
          <w:bCs w:val="false"/>
          <w:i w:val="false"/>
          <w:iCs w:val="false"/>
          <w:strike w:val="false"/>
          <w:color w:val="000000"/>
          <w:sz w:val="24"/>
          <w:szCs w:val="24"/>
        </w:rPr>
        <w:t xml:space="preserve">.</w:t>
      </w:r>
    </w:p>
    <w:p>
      <w:pPr>
        <w:spacing w:after="120" w:before="60" w:line="384" w:lineRule="auto"/>
      </w:pPr>
      <w:r>
        <w:rPr>
          <w:rFonts w:ascii="Constantia" w:cs="Constantia" w:eastAsia="Constantia" w:hAnsi="Constantia"/>
          <w:b/>
          <w:bCs/>
          <w:i w:val="false"/>
          <w:iCs w:val="false"/>
          <w:strike w:val="false"/>
          <w:color w:val="000000"/>
          <w:sz w:val="24"/>
          <w:szCs w:val="24"/>
        </w:rPr>
        <w:t xml:space="preserve">Référence critique :</w:t>
      </w:r>
      <w:r>
        <w:rPr>
          <w:rFonts w:ascii="Constantia" w:cs="Constantia" w:eastAsia="Constantia" w:hAnsi="Constantia"/>
          <w:b w:val="false"/>
          <w:bCs w:val="false"/>
          <w:i w:val="false"/>
          <w:iCs w:val="false"/>
          <w:strike w:val="false"/>
          <w:color w:val="000000"/>
          <w:sz w:val="24"/>
          <w:szCs w:val="24"/>
        </w:rPr>
        <w:t xml:space="preserve"> la théorie des « desirable difficulties » (Bjork &amp; Bjork, 2011) montre empiriquement que des conditions qui </w:t>
      </w:r>
      <w:r>
        <w:rPr>
          <w:rFonts w:ascii="Constantia" w:cs="Constantia" w:eastAsia="Constantia" w:hAnsi="Constantia"/>
          <w:b w:val="false"/>
          <w:bCs w:val="false"/>
          <w:i/>
          <w:iCs/>
          <w:strike w:val="false"/>
          <w:color w:val="000000"/>
          <w:sz w:val="24"/>
          <w:szCs w:val="24"/>
        </w:rPr>
        <w:t xml:space="preserve">ralentissent</w:t>
      </w:r>
      <w:r>
        <w:rPr>
          <w:rFonts w:ascii="Constantia" w:cs="Constantia" w:eastAsia="Constantia" w:hAnsi="Constantia"/>
          <w:b w:val="false"/>
          <w:bCs w:val="false"/>
          <w:i w:val="false"/>
          <w:iCs w:val="false"/>
          <w:strike w:val="false"/>
          <w:color w:val="000000"/>
          <w:sz w:val="24"/>
          <w:szCs w:val="24"/>
        </w:rPr>
        <w:t xml:space="preserve"> l'apprentissage apparent — espacement, entrelacement, variation des conditions de pratique, tests fréquents — </w:t>
      </w:r>
      <w:r>
        <w:rPr>
          <w:rFonts w:ascii="Constantia" w:cs="Constantia" w:eastAsia="Constantia" w:hAnsi="Constantia"/>
          <w:b w:val="false"/>
          <w:bCs w:val="false"/>
          <w:i/>
          <w:iCs/>
          <w:strike w:val="false"/>
          <w:color w:val="000000"/>
          <w:sz w:val="24"/>
          <w:szCs w:val="24"/>
        </w:rPr>
        <w:t xml:space="preserve">améliorent</w:t>
      </w:r>
      <w:r>
        <w:rPr>
          <w:rFonts w:ascii="Constantia" w:cs="Constantia" w:eastAsia="Constantia" w:hAnsi="Constantia"/>
          <w:b w:val="false"/>
          <w:bCs w:val="false"/>
          <w:i w:val="false"/>
          <w:iCs w:val="false"/>
          <w:strike w:val="false"/>
          <w:color w:val="000000"/>
          <w:sz w:val="24"/>
          <w:szCs w:val="24"/>
        </w:rPr>
        <w:t xml:space="preserve"> la rétention à long terme et le transfert. Le rapport ignore complètement cette littérature, ce qui constitue une lacune théorique significative. Un système qui protège systématiquement l'élève de l'inconfort cognitif risque de produire un apprentissage superficiel et fragile.</w:t>
      </w:r>
    </w:p>
    <w:p>
      <w:pPr>
        <w:pStyle w:val="Heading2"/>
        <w:spacing w:after="120" w:before="360" w:line="312" w:lineRule="auto"/>
      </w:pPr>
      <w:r>
        <w:rPr>
          <w:rFonts w:ascii="Cambria" w:cs="Cambria" w:eastAsia="Cambria" w:hAnsi="Cambria"/>
          <w:color w:val="1A1A1A"/>
          <w:sz w:val="36"/>
          <w:szCs w:val="36"/>
        </w:rPr>
        <w:t xml:space="preserve">5.5 RISQUE #10 — Fracture numérique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60" w:line="384" w:lineRule="auto"/>
            </w:pPr>
            <w:r>
              <w:rPr>
                <w:rFonts w:ascii="Constantia" w:cs="Constantia" w:eastAsia="Constantia" w:hAnsi="Constantia"/>
                <w:b/>
                <w:bCs/>
                <w:i w:val="false"/>
                <w:iCs w:val="false"/>
                <w:strike w:val="false"/>
                <w:color w:val="000000"/>
                <w:sz w:val="24"/>
                <w:szCs w:val="24"/>
              </w:rPr>
              <w:t xml:space="preserve">Niveau : MODÉRÉ</w:t>
            </w:r>
          </w:p>
        </w:tc>
      </w:tr>
    </w:tbl>
    <w:p>
      <w:pPr>
        <w:spacing w:after="240" w:before="0"/>
      </w:pP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Un système nécessitant des capteurs multimodaux (EEG, eye-tracking, ou même des proxies comportementaux sophistiqués) pour mesurer P(t), H(t) et C(t) n'est pas déployable dans des contextes éducatifs à faibles ressources — écoles rurales, pays en développement, familles à faible revenu. Le risque concret est d'aggraver la fracture numérique éducative : les élèves privilégiés bénéficient d'un tuteur IA personnalisé et optimal, tandis que les autres n'y ont pas accès. Ce risque est d'autant plus préoccupant que le rapport ne propose aucune version dégradée (« low-tech fallback ») de l'architecture.</w:t>
      </w:r>
    </w:p>
    <w:p>
      <w:pPr>
        <w:pStyle w:val="Heading1"/>
        <w:spacing w:after="120" w:before="480" w:line="312" w:lineRule="auto"/>
      </w:pPr>
      <w:r>
        <w:rPr>
          <w:rFonts w:ascii="Cambria" w:cs="Cambria" w:eastAsia="Cambria" w:hAnsi="Cambria"/>
          <w:color w:val="1A1A1A"/>
          <w:sz w:val="48"/>
          <w:szCs w:val="48"/>
        </w:rPr>
        <w:t xml:space="preserve">Section 6 — Éléments manquants critiques</w:t>
      </w:r>
    </w:p>
    <w:p>
      <w:pPr>
        <w:pStyle w:val="Heading2"/>
        <w:spacing w:after="120" w:before="360" w:line="312" w:lineRule="auto"/>
      </w:pPr>
      <w:r>
        <w:rPr>
          <w:rFonts w:ascii="Cambria" w:cs="Cambria" w:eastAsia="Cambria" w:hAnsi="Cambria"/>
          <w:color w:val="1A1A1A"/>
          <w:sz w:val="36"/>
          <w:szCs w:val="36"/>
        </w:rPr>
        <w:t xml:space="preserve">6.1 Absence de modèle de l'apprenant</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Le rapport ne propose aucun modèle formel de l'apprenant — c'est-à-dire une représentation computationnelle de l'état de connaissances de l'élève à un instant donné. Comment représente-t-on ce que l'élève sait, ne sait pas, et sait partiellement ? Les approches standard de la communauté AIED sont nombreuses et bien validées :</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BKT</w:t>
      </w:r>
      <w:r>
        <w:rPr>
          <w:rFonts w:ascii="Constantia" w:cs="Constantia" w:eastAsia="Constantia" w:hAnsi="Constantia"/>
          <w:b w:val="false"/>
          <w:bCs w:val="false"/>
          <w:i w:val="false"/>
          <w:iCs w:val="false"/>
          <w:strike w:val="false"/>
          <w:color w:val="000000"/>
          <w:sz w:val="24"/>
          <w:szCs w:val="24"/>
        </w:rPr>
        <w:t xml:space="preserve"> (Bayesian Knowledge Tracing, Corbett &amp; Anderson, 1995) — modèle probabiliste par composante de connaissance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DKT</w:t>
      </w:r>
      <w:r>
        <w:rPr>
          <w:rFonts w:ascii="Constantia" w:cs="Constantia" w:eastAsia="Constantia" w:hAnsi="Constantia"/>
          <w:b w:val="false"/>
          <w:bCs w:val="false"/>
          <w:i w:val="false"/>
          <w:iCs w:val="false"/>
          <w:strike w:val="false"/>
          <w:color w:val="000000"/>
          <w:sz w:val="24"/>
          <w:szCs w:val="24"/>
        </w:rPr>
        <w:t xml:space="preserve"> (Deep Knowledge Tracing, Piech et al., 2015) — réseaux récurrents pour la prédiction de performance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Knowledge Graphs</w:t>
      </w:r>
      <w:r>
        <w:rPr>
          <w:rFonts w:ascii="Constantia" w:cs="Constantia" w:eastAsia="Constantia" w:hAnsi="Constantia"/>
          <w:b w:val="false"/>
          <w:bCs w:val="false"/>
          <w:i w:val="false"/>
          <w:iCs w:val="false"/>
          <w:strike w:val="false"/>
          <w:color w:val="000000"/>
          <w:sz w:val="24"/>
          <w:szCs w:val="24"/>
        </w:rPr>
        <w:t xml:space="preserve"> — représentation structurée des dépendances entre concepts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Knowledge Spaces</w:t>
      </w:r>
      <w:r>
        <w:rPr>
          <w:rFonts w:ascii="Constantia" w:cs="Constantia" w:eastAsia="Constantia" w:hAnsi="Constantia"/>
          <w:b w:val="false"/>
          <w:bCs w:val="false"/>
          <w:i w:val="false"/>
          <w:iCs w:val="false"/>
          <w:strike w:val="false"/>
          <w:color w:val="000000"/>
          <w:sz w:val="24"/>
          <w:szCs w:val="24"/>
        </w:rPr>
        <w:t xml:space="preserve"> (Doignon &amp; Falmagne, 1999) — fondement mathématique d'ALEKS</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Sans modèle de l'apprenant, le curriculum adaptatif ne peut pas fonctionner : on ne peut pas adapter le contenu si on ne sait pas ce que l'élève maîtrise. L'absence de ce composant fondamental est surprenante dans un rapport qui prétend proposer une architecture complète.</w:t>
      </w:r>
    </w:p>
    <w:p>
      <w:pPr>
        <w:pStyle w:val="Heading2"/>
        <w:spacing w:after="120" w:before="360" w:line="312" w:lineRule="auto"/>
      </w:pPr>
      <w:r>
        <w:rPr>
          <w:rFonts w:ascii="Cambria" w:cs="Cambria" w:eastAsia="Cambria" w:hAnsi="Cambria"/>
          <w:color w:val="1A1A1A"/>
          <w:sz w:val="36"/>
          <w:szCs w:val="36"/>
        </w:rPr>
        <w:t xml:space="preserve">6.2 Absence de protocole expérimental</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Aucun protocole n'est proposé pour tester l'architecture. Les questions minimales auxquelles un protocole devrait répondre restent entièrement ouvertes :</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Quelle </w:t>
      </w:r>
      <w:r>
        <w:rPr>
          <w:rFonts w:ascii="Constantia" w:cs="Constantia" w:eastAsia="Constantia" w:hAnsi="Constantia"/>
          <w:b/>
          <w:bCs/>
          <w:i w:val="false"/>
          <w:iCs w:val="false"/>
          <w:strike w:val="false"/>
          <w:color w:val="000000"/>
          <w:sz w:val="24"/>
          <w:szCs w:val="24"/>
        </w:rPr>
        <w:t xml:space="preserve">population cible</w:t>
      </w:r>
      <w:r>
        <w:rPr>
          <w:rFonts w:ascii="Constantia" w:cs="Constantia" w:eastAsia="Constantia" w:hAnsi="Constantia"/>
          <w:b w:val="false"/>
          <w:bCs w:val="false"/>
          <w:i w:val="false"/>
          <w:iCs w:val="false"/>
          <w:strike w:val="false"/>
          <w:color w:val="000000"/>
          <w:sz w:val="24"/>
          <w:szCs w:val="24"/>
        </w:rPr>
        <w:t xml:space="preserve"> ? (âge, niveau scolaire, contexte socio-économique)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Quel </w:t>
      </w:r>
      <w:r>
        <w:rPr>
          <w:rFonts w:ascii="Constantia" w:cs="Constantia" w:eastAsia="Constantia" w:hAnsi="Constantia"/>
          <w:b/>
          <w:bCs/>
          <w:i w:val="false"/>
          <w:iCs w:val="false"/>
          <w:strike w:val="false"/>
          <w:color w:val="000000"/>
          <w:sz w:val="24"/>
          <w:szCs w:val="24"/>
        </w:rPr>
        <w:t xml:space="preserve">domaine d'apprentissage</w:t>
      </w:r>
      <w:r>
        <w:rPr>
          <w:rFonts w:ascii="Constantia" w:cs="Constantia" w:eastAsia="Constantia" w:hAnsi="Constantia"/>
          <w:b w:val="false"/>
          <w:bCs w:val="false"/>
          <w:i w:val="false"/>
          <w:iCs w:val="false"/>
          <w:strike w:val="false"/>
          <w:color w:val="000000"/>
          <w:sz w:val="24"/>
          <w:szCs w:val="24"/>
        </w:rPr>
        <w:t xml:space="preserve"> ? (mathématiques ? langues ? sciences ?)</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Quelles </w:t>
      </w:r>
      <w:r>
        <w:rPr>
          <w:rFonts w:ascii="Constantia" w:cs="Constantia" w:eastAsia="Constantia" w:hAnsi="Constantia"/>
          <w:b/>
          <w:bCs/>
          <w:i w:val="false"/>
          <w:iCs w:val="false"/>
          <w:strike w:val="false"/>
          <w:color w:val="000000"/>
          <w:sz w:val="24"/>
          <w:szCs w:val="24"/>
        </w:rPr>
        <w:t xml:space="preserve">métriques de succès</w:t>
      </w:r>
      <w:r>
        <w:rPr>
          <w:rFonts w:ascii="Constantia" w:cs="Constantia" w:eastAsia="Constantia" w:hAnsi="Constantia"/>
          <w:b w:val="false"/>
          <w:bCs w:val="false"/>
          <w:i w:val="false"/>
          <w:iCs w:val="false"/>
          <w:strike w:val="false"/>
          <w:color w:val="000000"/>
          <w:sz w:val="24"/>
          <w:szCs w:val="24"/>
        </w:rPr>
        <w:t xml:space="preserve"> ? (et comment les mesurer)</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Quel </w:t>
      </w:r>
      <w:r>
        <w:rPr>
          <w:rFonts w:ascii="Constantia" w:cs="Constantia" w:eastAsia="Constantia" w:hAnsi="Constantia"/>
          <w:b/>
          <w:bCs/>
          <w:i w:val="false"/>
          <w:iCs w:val="false"/>
          <w:strike w:val="false"/>
          <w:color w:val="000000"/>
          <w:sz w:val="24"/>
          <w:szCs w:val="24"/>
        </w:rPr>
        <w:t xml:space="preserve">design expérimental</w:t>
      </w:r>
      <w:r>
        <w:rPr>
          <w:rFonts w:ascii="Constantia" w:cs="Constantia" w:eastAsia="Constantia" w:hAnsi="Constantia"/>
          <w:b w:val="false"/>
          <w:bCs w:val="false"/>
          <w:i w:val="false"/>
          <w:iCs w:val="false"/>
          <w:strike w:val="false"/>
          <w:color w:val="000000"/>
          <w:sz w:val="24"/>
          <w:szCs w:val="24"/>
        </w:rPr>
        <w:t xml:space="preserve"> ? (A/B testing ? within-subjects ? longitudinal ?)</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Quelle </w:t>
      </w:r>
      <w:r>
        <w:rPr>
          <w:rFonts w:ascii="Constantia" w:cs="Constantia" w:eastAsia="Constantia" w:hAnsi="Constantia"/>
          <w:b/>
          <w:bCs/>
          <w:i w:val="false"/>
          <w:iCs w:val="false"/>
          <w:strike w:val="false"/>
          <w:color w:val="000000"/>
          <w:sz w:val="24"/>
          <w:szCs w:val="24"/>
        </w:rPr>
        <w:t xml:space="preserve">durée</w:t>
      </w:r>
      <w:r>
        <w:rPr>
          <w:rFonts w:ascii="Constantia" w:cs="Constantia" w:eastAsia="Constantia" w:hAnsi="Constantia"/>
          <w:b w:val="false"/>
          <w:bCs w:val="false"/>
          <w:i w:val="false"/>
          <w:iCs w:val="false"/>
          <w:strike w:val="false"/>
          <w:color w:val="000000"/>
          <w:sz w:val="24"/>
          <w:szCs w:val="24"/>
        </w:rPr>
        <w:t xml:space="preserve"> ? (une session ? un semestre ? une année scolaire ?)</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Quelles </w:t>
      </w:r>
      <w:r>
        <w:rPr>
          <w:rFonts w:ascii="Constantia" w:cs="Constantia" w:eastAsia="Constantia" w:hAnsi="Constantia"/>
          <w:b/>
          <w:bCs/>
          <w:i w:val="false"/>
          <w:iCs w:val="false"/>
          <w:strike w:val="false"/>
          <w:color w:val="000000"/>
          <w:sz w:val="24"/>
          <w:szCs w:val="24"/>
        </w:rPr>
        <w:t xml:space="preserve">baselines</w:t>
      </w:r>
      <w:r>
        <w:rPr>
          <w:rFonts w:ascii="Constantia" w:cs="Constantia" w:eastAsia="Constantia" w:hAnsi="Constantia"/>
          <w:b w:val="false"/>
          <w:bCs w:val="false"/>
          <w:i w:val="false"/>
          <w:iCs w:val="false"/>
          <w:strike w:val="false"/>
          <w:color w:val="000000"/>
          <w:sz w:val="24"/>
          <w:szCs w:val="24"/>
        </w:rPr>
        <w:t xml:space="preserve"> ? (curriculum fixe ? tuteur adaptatif standard ? enseignement traditionnel ?)</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Quelle </w:t>
      </w:r>
      <w:r>
        <w:rPr>
          <w:rFonts w:ascii="Constantia" w:cs="Constantia" w:eastAsia="Constantia" w:hAnsi="Constantia"/>
          <w:b/>
          <w:bCs/>
          <w:i w:val="false"/>
          <w:iCs w:val="false"/>
          <w:strike w:val="false"/>
          <w:color w:val="000000"/>
          <w:sz w:val="24"/>
          <w:szCs w:val="24"/>
        </w:rPr>
        <w:t xml:space="preserve">taille d'échantillon</w:t>
      </w:r>
      <w:r>
        <w:rPr>
          <w:rFonts w:ascii="Constantia" w:cs="Constantia" w:eastAsia="Constantia" w:hAnsi="Constantia"/>
          <w:b w:val="false"/>
          <w:bCs w:val="false"/>
          <w:i w:val="false"/>
          <w:iCs w:val="false"/>
          <w:strike w:val="false"/>
          <w:color w:val="000000"/>
          <w:sz w:val="24"/>
          <w:szCs w:val="24"/>
        </w:rPr>
        <w:t xml:space="preserve"> et quelle </w:t>
      </w:r>
      <w:r>
        <w:rPr>
          <w:rFonts w:ascii="Constantia" w:cs="Constantia" w:eastAsia="Constantia" w:hAnsi="Constantia"/>
          <w:b/>
          <w:bCs/>
          <w:i w:val="false"/>
          <w:iCs w:val="false"/>
          <w:strike w:val="false"/>
          <w:color w:val="000000"/>
          <w:sz w:val="24"/>
          <w:szCs w:val="24"/>
        </w:rPr>
        <w:t xml:space="preserve">puissance statistique</w:t>
      </w:r>
      <w:r>
        <w:rPr>
          <w:rFonts w:ascii="Constantia" w:cs="Constantia" w:eastAsia="Constantia" w:hAnsi="Constantia"/>
          <w:b w:val="false"/>
          <w:bCs w:val="false"/>
          <w:i w:val="false"/>
          <w:iCs w:val="false"/>
          <w:strike w:val="false"/>
          <w:color w:val="000000"/>
          <w:sz w:val="24"/>
          <w:szCs w:val="24"/>
        </w:rPr>
        <w:t xml:space="preserve">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84" w:lineRule="auto"/>
            </w:pPr>
            <w:r>
              <w:rPr>
                <w:rFonts w:ascii="Constantia" w:cs="Constantia" w:eastAsia="Constantia" w:hAnsi="Constantia"/>
                <w:b/>
                <w:bCs/>
                <w:i w:val="false"/>
                <w:iCs w:val="false"/>
                <w:strike w:val="false"/>
                <w:color w:val="000000"/>
                <w:sz w:val="24"/>
                <w:szCs w:val="24"/>
              </w:rPr>
              <w:t xml:space="preserve">Recommandation R9</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Détailler un design expérimental complet : population, domaine, métriques, durée, baselines, analyse statistique prévue (tests, corrections pour comparaisons multiples, taille d'effet attendue).</w:t>
            </w:r>
          </w:p>
        </w:tc>
      </w:tr>
    </w:tbl>
    <w:p>
      <w:pPr>
        <w:spacing w:after="240" w:before="0"/>
      </w:pPr>
    </w:p>
    <w:p>
      <w:pPr>
        <w:pStyle w:val="Heading2"/>
        <w:spacing w:after="120" w:before="360" w:line="312" w:lineRule="auto"/>
      </w:pPr>
      <w:r>
        <w:rPr>
          <w:rFonts w:ascii="Cambria" w:cs="Cambria" w:eastAsia="Cambria" w:hAnsi="Cambria"/>
          <w:color w:val="1A1A1A"/>
          <w:sz w:val="36"/>
          <w:szCs w:val="36"/>
        </w:rPr>
        <w:t xml:space="preserve">6.3 Absence de discussion sur l'implémentation</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Le rapport ne discute pas des choix technologiques nécessaires à la réalisation de l'architecture :</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Quel </w:t>
      </w:r>
      <w:r>
        <w:rPr>
          <w:rFonts w:ascii="Constantia" w:cs="Constantia" w:eastAsia="Constantia" w:hAnsi="Constantia"/>
          <w:b/>
          <w:bCs/>
          <w:i w:val="false"/>
          <w:iCs w:val="false"/>
          <w:strike w:val="false"/>
          <w:color w:val="000000"/>
          <w:sz w:val="24"/>
          <w:szCs w:val="24"/>
        </w:rPr>
        <w:t xml:space="preserve">framework ML</w:t>
      </w:r>
      <w:r>
        <w:rPr>
          <w:rFonts w:ascii="Constantia" w:cs="Constantia" w:eastAsia="Constantia" w:hAnsi="Constantia"/>
          <w:b w:val="false"/>
          <w:bCs w:val="false"/>
          <w:i w:val="false"/>
          <w:iCs w:val="false"/>
          <w:strike w:val="false"/>
          <w:color w:val="000000"/>
          <w:sz w:val="24"/>
          <w:szCs w:val="24"/>
        </w:rPr>
        <w:t xml:space="preserve"> ? (PyTorch ? JAX ? TensorFlow ?)</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Quelle </w:t>
      </w:r>
      <w:r>
        <w:rPr>
          <w:rFonts w:ascii="Constantia" w:cs="Constantia" w:eastAsia="Constantia" w:hAnsi="Constantia"/>
          <w:b/>
          <w:bCs/>
          <w:i w:val="false"/>
          <w:iCs w:val="false"/>
          <w:strike w:val="false"/>
          <w:color w:val="000000"/>
          <w:sz w:val="24"/>
          <w:szCs w:val="24"/>
        </w:rPr>
        <w:t xml:space="preserve">architecture de réseau</w:t>
      </w:r>
      <w:r>
        <w:rPr>
          <w:rFonts w:ascii="Constantia" w:cs="Constantia" w:eastAsia="Constantia" w:hAnsi="Constantia"/>
          <w:b w:val="false"/>
          <w:bCs w:val="false"/>
          <w:i w:val="false"/>
          <w:iCs w:val="false"/>
          <w:strike w:val="false"/>
          <w:color w:val="000000"/>
          <w:sz w:val="24"/>
          <w:szCs w:val="24"/>
        </w:rPr>
        <w:t xml:space="preserve"> pour le modèle de l'apprenant ? (LSTM ? Transformer ? GNN ?)</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Quel </w:t>
      </w:r>
      <w:r>
        <w:rPr>
          <w:rFonts w:ascii="Constantia" w:cs="Constantia" w:eastAsia="Constantia" w:hAnsi="Constantia"/>
          <w:b/>
          <w:bCs/>
          <w:i w:val="false"/>
          <w:iCs w:val="false"/>
          <w:strike w:val="false"/>
          <w:color w:val="000000"/>
          <w:sz w:val="24"/>
          <w:szCs w:val="24"/>
        </w:rPr>
        <w:t xml:space="preserve">environnement de simulation</w:t>
      </w:r>
      <w:r>
        <w:rPr>
          <w:rFonts w:ascii="Constantia" w:cs="Constantia" w:eastAsia="Constantia" w:hAnsi="Constantia"/>
          <w:b w:val="false"/>
          <w:bCs w:val="false"/>
          <w:i w:val="false"/>
          <w:iCs w:val="false"/>
          <w:strike w:val="false"/>
          <w:color w:val="000000"/>
          <w:sz w:val="24"/>
          <w:szCs w:val="24"/>
        </w:rPr>
        <w:t xml:space="preserve"> pour le prototypage ? (Gymnasium ? environnement custom ?)</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Quel </w:t>
      </w:r>
      <w:r>
        <w:rPr>
          <w:rFonts w:ascii="Constantia" w:cs="Constantia" w:eastAsia="Constantia" w:hAnsi="Constantia"/>
          <w:b/>
          <w:bCs/>
          <w:i w:val="false"/>
          <w:iCs w:val="false"/>
          <w:strike w:val="false"/>
          <w:color w:val="000000"/>
          <w:sz w:val="24"/>
          <w:szCs w:val="24"/>
        </w:rPr>
        <w:t xml:space="preserve">LLM</w:t>
      </w:r>
      <w:r>
        <w:rPr>
          <w:rFonts w:ascii="Constantia" w:cs="Constantia" w:eastAsia="Constantia" w:hAnsi="Constantia"/>
          <w:b w:val="false"/>
          <w:bCs w:val="false"/>
          <w:i w:val="false"/>
          <w:iCs w:val="false"/>
          <w:strike w:val="false"/>
          <w:color w:val="000000"/>
          <w:sz w:val="24"/>
          <w:szCs w:val="24"/>
        </w:rPr>
        <w:t xml:space="preserve"> pour le curriculum adaptatif ? (quelle taille ? fine-tuné comment ?)</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Les garde-fous sont-ils implémentés comme des </w:t>
      </w:r>
      <w:r>
        <w:rPr>
          <w:rFonts w:ascii="Constantia" w:cs="Constantia" w:eastAsia="Constantia" w:hAnsi="Constantia"/>
          <w:b/>
          <w:bCs/>
          <w:i w:val="false"/>
          <w:iCs w:val="false"/>
          <w:strike w:val="false"/>
          <w:color w:val="000000"/>
          <w:sz w:val="24"/>
          <w:szCs w:val="24"/>
        </w:rPr>
        <w:t xml:space="preserve">contraintes hard</w:t>
      </w:r>
      <w:r>
        <w:rPr>
          <w:rFonts w:ascii="Constantia" w:cs="Constantia" w:eastAsia="Constantia" w:hAnsi="Constantia"/>
          <w:b w:val="false"/>
          <w:bCs w:val="false"/>
          <w:i w:val="false"/>
          <w:iCs w:val="false"/>
          <w:strike w:val="false"/>
          <w:color w:val="000000"/>
          <w:sz w:val="24"/>
          <w:szCs w:val="24"/>
        </w:rPr>
        <w:t xml:space="preserve"> (le système refuse d'agir si un garde-fou est violé) ou </w:t>
      </w:r>
      <w:r>
        <w:rPr>
          <w:rFonts w:ascii="Constantia" w:cs="Constantia" w:eastAsia="Constantia" w:hAnsi="Constantia"/>
          <w:b/>
          <w:bCs/>
          <w:i w:val="false"/>
          <w:iCs w:val="false"/>
          <w:strike w:val="false"/>
          <w:color w:val="000000"/>
          <w:sz w:val="24"/>
          <w:szCs w:val="24"/>
        </w:rPr>
        <w:t xml:space="preserve">soft</w:t>
      </w:r>
      <w:r>
        <w:rPr>
          <w:rFonts w:ascii="Constantia" w:cs="Constantia" w:eastAsia="Constantia" w:hAnsi="Constantia"/>
          <w:b w:val="false"/>
          <w:bCs w:val="false"/>
          <w:i w:val="false"/>
          <w:iCs w:val="false"/>
          <w:strike w:val="false"/>
          <w:color w:val="000000"/>
          <w:sz w:val="24"/>
          <w:szCs w:val="24"/>
        </w:rPr>
        <w:t xml:space="preserve"> (pénalité dans la fonction de coût) ? Cette distinction a des implications fondamentales sur le comportement du système.</w:t>
      </w:r>
    </w:p>
    <w:p>
      <w:pPr>
        <w:pStyle w:val="Heading2"/>
        <w:spacing w:after="120" w:before="360" w:line="312" w:lineRule="auto"/>
      </w:pPr>
      <w:r>
        <w:rPr>
          <w:rFonts w:ascii="Cambria" w:cs="Cambria" w:eastAsia="Cambria" w:hAnsi="Cambria"/>
          <w:color w:val="1A1A1A"/>
          <w:sz w:val="36"/>
          <w:szCs w:val="36"/>
        </w:rPr>
        <w:t xml:space="preserve">6.4 Absence de métriques d'évaluation</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Quelles métriques permettraient de comparer l'Élève IA avec un système existant ? Le rapport ne propose aucun critère de succès mesurable. Suggestions de métriques standard utilisées dans la communauté AIED :</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4%"/>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Métrique</w:t>
            </w:r>
          </w:p>
        </w:tc>
        <w:tc>
          <w:tcPr>
            <w:tcW w:type="pct" w:w="52%"/>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Description</w:t>
            </w:r>
          </w:p>
        </w:tc>
        <w:tc>
          <w:tcPr>
            <w:tcW w:type="pct" w:w="24%"/>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Instrument</w:t>
            </w:r>
          </w:p>
        </w:tc>
      </w:tr>
      <w:tr>
        <w:trPr>
          <w:tblHeader w:val="false"/>
        </w:trPr>
        <w:tc>
          <w:tcPr>
            <w:tcW w:type="pct" w:w="2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Taux de rétention</w:t>
            </w:r>
          </w:p>
        </w:tc>
        <w:tc>
          <w:tcPr>
            <w:tcW w:type="pct" w:w="5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Pourcentage de connaissances retenues à J+7, J+30, J+90</w:t>
            </w:r>
          </w:p>
        </w:tc>
        <w:tc>
          <w:tcPr>
            <w:tcW w:type="pct" w:w="2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Tests standardisés pré/post</w:t>
            </w:r>
          </w:p>
        </w:tc>
      </w:tr>
      <w:tr>
        <w:trPr>
          <w:tblHeader w:val="false"/>
        </w:trPr>
        <w:tc>
          <w:tcPr>
            <w:tcW w:type="pct" w:w="2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Temps d'apprentissage</w:t>
            </w:r>
          </w:p>
        </w:tc>
        <w:tc>
          <w:tcPr>
            <w:tcW w:type="pct" w:w="5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Durée pour atteindre un seuil de maîtrise défini</w:t>
            </w:r>
          </w:p>
        </w:tc>
        <w:tc>
          <w:tcPr>
            <w:tcW w:type="pct" w:w="2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Logs système</w:t>
            </w:r>
          </w:p>
        </w:tc>
      </w:tr>
      <w:tr>
        <w:trPr>
          <w:tblHeader w:val="false"/>
        </w:trPr>
        <w:tc>
          <w:tcPr>
            <w:tcW w:type="pct" w:w="2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Charge cognitive subjective</w:t>
            </w:r>
          </w:p>
        </w:tc>
        <w:tc>
          <w:tcPr>
            <w:tcW w:type="pct" w:w="5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Perception de l'effort mental par l'apprenant</w:t>
            </w:r>
          </w:p>
        </w:tc>
        <w:tc>
          <w:tcPr>
            <w:tcW w:type="pct" w:w="2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NASA-TLX</w:t>
            </w:r>
          </w:p>
        </w:tc>
      </w:tr>
      <w:tr>
        <w:trPr>
          <w:tblHeader w:val="false"/>
        </w:trPr>
        <w:tc>
          <w:tcPr>
            <w:tcW w:type="pct" w:w="2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Engagement</w:t>
            </w:r>
          </w:p>
        </w:tc>
        <w:tc>
          <w:tcPr>
            <w:tcW w:type="pct" w:w="5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Temps on-task, taux de complétion des exercices</w:t>
            </w:r>
          </w:p>
        </w:tc>
        <w:tc>
          <w:tcPr>
            <w:tcW w:type="pct" w:w="2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Logs système + observation</w:t>
            </w:r>
          </w:p>
        </w:tc>
      </w:tr>
      <w:tr>
        <w:trPr>
          <w:tblHeader w:val="false"/>
        </w:trPr>
        <w:tc>
          <w:tcPr>
            <w:tcW w:type="pct" w:w="2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Satisfaction</w:t>
            </w:r>
          </w:p>
        </w:tc>
        <w:tc>
          <w:tcPr>
            <w:tcW w:type="pct" w:w="5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Évaluation subjective de l'expérience d'apprentissage</w:t>
            </w:r>
          </w:p>
        </w:tc>
        <w:tc>
          <w:tcPr>
            <w:tcW w:type="pct" w:w="2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SUS, CSUQ</w:t>
            </w:r>
          </w:p>
        </w:tc>
      </w:tr>
      <w:tr>
        <w:trPr>
          <w:tblHeader w:val="false"/>
        </w:trPr>
        <w:tc>
          <w:tcPr>
            <w:tcW w:type="pct" w:w="2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Transfert</w:t>
            </w:r>
          </w:p>
        </w:tc>
        <w:tc>
          <w:tcPr>
            <w:tcW w:type="pct" w:w="5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Capacité à résoudre des problèmes nouveaux non vus pendant l'entraînement</w:t>
            </w:r>
          </w:p>
        </w:tc>
        <w:tc>
          <w:tcPr>
            <w:tcW w:type="pct" w:w="2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Tests de transfert near/far</w:t>
            </w:r>
          </w:p>
        </w:tc>
      </w:tr>
    </w:tbl>
    <w:p>
      <w:pPr>
        <w:spacing w:after="200" w:before="0"/>
      </w:pPr>
    </w:p>
    <w:p>
      <w:pPr>
        <w:pStyle w:val="Heading2"/>
        <w:spacing w:after="120" w:before="360" w:line="312" w:lineRule="auto"/>
      </w:pPr>
      <w:r>
        <w:rPr>
          <w:rFonts w:ascii="Cambria" w:cs="Cambria" w:eastAsia="Cambria" w:hAnsi="Cambria"/>
          <w:color w:val="1A1A1A"/>
          <w:sz w:val="36"/>
          <w:szCs w:val="36"/>
        </w:rPr>
        <w:t xml:space="preserve">6.5 Absence de positionnement concurrentiel</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Le rapport ne compare l'architecture avec </w:t>
      </w:r>
      <w:r>
        <w:rPr>
          <w:rFonts w:ascii="Constantia" w:cs="Constantia" w:eastAsia="Constantia" w:hAnsi="Constantia"/>
          <w:b/>
          <w:bCs/>
          <w:i w:val="false"/>
          <w:iCs w:val="false"/>
          <w:strike w:val="false"/>
          <w:color w:val="000000"/>
          <w:sz w:val="24"/>
          <w:szCs w:val="24"/>
        </w:rPr>
        <w:t xml:space="preserve">aucun</w:t>
      </w:r>
      <w:r>
        <w:rPr>
          <w:rFonts w:ascii="Constantia" w:cs="Constantia" w:eastAsia="Constantia" w:hAnsi="Constantia"/>
          <w:b w:val="false"/>
          <w:bCs w:val="false"/>
          <w:i w:val="false"/>
          <w:iCs w:val="false"/>
          <w:strike w:val="false"/>
          <w:color w:val="000000"/>
          <w:sz w:val="24"/>
          <w:szCs w:val="24"/>
        </w:rPr>
        <w:t xml:space="preserve"> système existant. Pour un travail qui prétend proposer une architecture nouvelle, l'absence de positionnement par rapport à l'état de l'art est une lacune majeure. Le rapport devrait se positionner explicitement par rapport à :</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9%"/>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Système</w:t>
            </w:r>
          </w:p>
        </w:tc>
        <w:tc>
          <w:tcPr>
            <w:tcW w:type="pct" w:w="36%"/>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Approche</w:t>
            </w:r>
          </w:p>
        </w:tc>
        <w:tc>
          <w:tcPr>
            <w:tcW w:type="pct" w:w="35%"/>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Validation</w:t>
            </w:r>
          </w:p>
        </w:tc>
      </w:tr>
      <w:tr>
        <w:trPr>
          <w:tblHeader w:val="false"/>
        </w:trPr>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Carnegie Learning / Cognitive Tutor</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ITS basé sur ACT-R (Anderson et al.)</w:t>
            </w:r>
          </w:p>
        </w:tc>
        <w:tc>
          <w:tcPr>
            <w:tcW w:type="pct" w:w="3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Études randomisées contrôlées à grande échelle</w:t>
            </w:r>
          </w:p>
        </w:tc>
      </w:tr>
      <w:tr>
        <w:trPr>
          <w:tblHeader w:val="false"/>
        </w:trPr>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AutoTutor</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Tuteur conversationnel (Graesser et al.)</w:t>
            </w:r>
          </w:p>
        </w:tc>
        <w:tc>
          <w:tcPr>
            <w:tcW w:type="pct" w:w="3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Gains d'apprentissage de ~0.8 sigma documentés</w:t>
            </w:r>
          </w:p>
        </w:tc>
      </w:tr>
      <w:tr>
        <w:trPr>
          <w:tblHeader w:val="false"/>
        </w:trPr>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ALEKS</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Knowledge Spaces (Doignon &amp; Falmagne)</w:t>
            </w:r>
          </w:p>
        </w:tc>
        <w:tc>
          <w:tcPr>
            <w:tcW w:type="pct" w:w="3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Déployé dans des millions de classes</w:t>
            </w:r>
          </w:p>
        </w:tc>
      </w:tr>
      <w:tr>
        <w:trPr>
          <w:tblHeader w:val="false"/>
        </w:trPr>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Khan Academy (adaptive mode)</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Mastery-based learning + IA adaptative</w:t>
            </w:r>
          </w:p>
        </w:tc>
        <w:tc>
          <w:tcPr>
            <w:tcW w:type="pct" w:w="3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Déploiement massif, études d'efficacité</w:t>
            </w:r>
          </w:p>
        </w:tc>
      </w:tr>
      <w:tr>
        <w:trPr>
          <w:tblHeader w:val="false"/>
        </w:trPr>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Squirrel AI</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Adaptive learning, micro-granularité</w:t>
            </w:r>
          </w:p>
        </w:tc>
        <w:tc>
          <w:tcPr>
            <w:tcW w:type="pct" w:w="3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Études contrôlées en Chine</w:t>
            </w:r>
          </w:p>
        </w:tc>
      </w:tr>
      <w:tr>
        <w:trPr>
          <w:tblHeader w:val="false"/>
        </w:trPr>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Duolingo</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Curriculum adaptatif par RL + spaced repetition</w:t>
            </w:r>
          </w:p>
        </w:tc>
        <w:tc>
          <w:tcPr>
            <w:tcW w:type="pct" w:w="3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A/B testing à grande échelle, publications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84" w:lineRule="auto"/>
            </w:pPr>
            <w:r>
              <w:rPr>
                <w:rFonts w:ascii="Constantia" w:cs="Constantia" w:eastAsia="Constantia" w:hAnsi="Constantia"/>
                <w:b/>
                <w:bCs/>
                <w:i w:val="false"/>
                <w:iCs w:val="false"/>
                <w:strike w:val="false"/>
                <w:color w:val="000000"/>
                <w:sz w:val="24"/>
                <w:szCs w:val="24"/>
              </w:rPr>
              <w:t xml:space="preserve">Recommandation R8</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Produire un tableau comparatif détaillé avec les 5–10 systèmes ITS les plus proches, sur au moins 8 critères : modèle de l'apprenant, adaptativité du curriculum, gestion de la charge cognitive, validation empirique, scalabilité, coût, explicabilité, éthique.</w:t>
            </w:r>
          </w:p>
        </w:tc>
      </w:tr>
    </w:tbl>
    <w:p>
      <w:pPr>
        <w:spacing w:after="240" w:before="0"/>
      </w:pPr>
    </w:p>
    <w:p>
      <w:pPr>
        <w:pStyle w:val="Heading1"/>
        <w:spacing w:after="120" w:before="480" w:line="312" w:lineRule="auto"/>
      </w:pPr>
      <w:r>
        <w:rPr>
          <w:rFonts w:ascii="Cambria" w:cs="Cambria" w:eastAsia="Cambria" w:hAnsi="Cambria"/>
          <w:color w:val="1A1A1A"/>
          <w:sz w:val="48"/>
          <w:szCs w:val="48"/>
        </w:rPr>
        <w:t xml:space="preserve">Section 7 — Recommandations pour révision</w:t>
      </w:r>
    </w:p>
    <w:p>
      <w:pPr>
        <w:pStyle w:val="Heading2"/>
        <w:spacing w:after="120" w:before="360" w:line="312" w:lineRule="auto"/>
      </w:pPr>
      <w:r>
        <w:rPr>
          <w:rFonts w:ascii="Cambria" w:cs="Cambria" w:eastAsia="Cambria" w:hAnsi="Cambria"/>
          <w:color w:val="1A1A1A"/>
          <w:sz w:val="36"/>
          <w:szCs w:val="36"/>
        </w:rPr>
        <w:t xml:space="preserve">7.1 Recommandations prioritaires (bloquantes pour publication)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8%"/>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Réf.</w:t>
            </w:r>
          </w:p>
        </w:tc>
        <w:tc>
          <w:tcPr>
            <w:tcW w:type="pct" w:w="15%"/>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Recommandation</w:t>
            </w:r>
          </w:p>
        </w:tc>
        <w:tc>
          <w:tcPr>
            <w:tcW w:type="pct" w:w="77%"/>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Détail</w:t>
            </w:r>
          </w:p>
        </w:tc>
      </w:tr>
      <w:tr>
        <w:trPr>
          <w:tblHeader w:val="false"/>
        </w:trPr>
        <w:tc>
          <w:tcPr>
            <w:tcW w:type="pct" w:w="8%"/>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R1</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Implémenter un prototype minimal</w:t>
            </w:r>
          </w:p>
        </w:tc>
        <w:tc>
          <w:tcPr>
            <w:tcW w:type="pct" w:w="7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Créer une implémentation de référence dans un environnement simulé (ex. un apprenant synthétique dans un curriculum de mathématiques via Gymnasium/PettingZoo). Démontrer que la boucle ϟP améliore les résultats par rapport à un curriculum fixe et un curriculum adaptatif standard (DKT + politique RL). Inclure des études d'ablation.</w:t>
            </w:r>
          </w:p>
        </w:tc>
      </w:tr>
      <w:tr>
        <w:trPr>
          <w:tblHeader w:val="false"/>
        </w:trPr>
        <w:tc>
          <w:tcPr>
            <w:tcW w:type="pct" w:w="8%"/>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R2</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Opérationnaliser les variables</w:t>
            </w:r>
          </w:p>
        </w:tc>
        <w:tc>
          <w:tcPr>
            <w:tcW w:type="pct" w:w="7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Pour chaque variable de ϟP(t), fournir : définition opérationnelle (quelles observables ?), méthode de mesure (quel capteur/proxy ?), unité, plage de valeurs, protocole de calibration. Transformer les métaphores en métriques mesurables et falsifiables.</w:t>
            </w:r>
          </w:p>
        </w:tc>
      </w:tr>
      <w:tr>
        <w:trPr>
          <w:tblHeader w:val="false"/>
        </w:trPr>
        <w:tc>
          <w:tcPr>
            <w:tcW w:type="pct" w:w="8%"/>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R3</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Élargir la revue de littérature</w:t>
            </w:r>
          </w:p>
        </w:tc>
        <w:tc>
          <w:tcPr>
            <w:tcW w:type="pct" w:w="7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Minimum 40 références couvrant : Knowledge Tracing (BKT, DKT, AKT), ITS (Carnegie, AutoTutor), ZPD (Vygotsky), Flow Theory (Csikszentmihalyi), Desirable Difficulties (Bjork), Curriculum Learning (Bengio 2009), Self-Determination Theory (Deci &amp; Ryan), Learning Analytics, critiques de la CLT (De Jong, 2010).</w:t>
            </w:r>
          </w:p>
        </w:tc>
      </w:tr>
      <w:tr>
        <w:trPr>
          <w:tblHeader w:val="false"/>
        </w:trPr>
        <w:tc>
          <w:tcPr>
            <w:tcW w:type="pct" w:w="8%"/>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R4</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Ajouter une section éthique complète</w:t>
            </w:r>
          </w:p>
        </w:tc>
        <w:tc>
          <w:tcPr>
            <w:tcW w:type="pct" w:w="7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Traiter systématiquement les 14 risques identifiés par Zhu et al. (2025). Proposer des mécanismes d'atténuation spécifiques pour chaque risque. Discuter le consentement éclairé des mineurs, la propriété des données cognitives, et le droit à l'oubli algorithmique.</w:t>
            </w:r>
          </w:p>
        </w:tc>
      </w:tr>
    </w:tbl>
    <w:p>
      <w:pPr>
        <w:spacing w:after="200" w:before="0"/>
      </w:pPr>
    </w:p>
    <w:p>
      <w:pPr>
        <w:pStyle w:val="Heading2"/>
        <w:spacing w:after="120" w:before="360" w:line="312" w:lineRule="auto"/>
      </w:pPr>
      <w:r>
        <w:rPr>
          <w:rFonts w:ascii="Cambria" w:cs="Cambria" w:eastAsia="Cambria" w:hAnsi="Cambria"/>
          <w:color w:val="1A1A1A"/>
          <w:sz w:val="36"/>
          <w:szCs w:val="36"/>
        </w:rPr>
        <w:t xml:space="preserve">7.2 Recommandations secondaires (améliorations souhaitables)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Réf.</w:t>
            </w:r>
          </w:p>
        </w:tc>
        <w:tc>
          <w:tcPr>
            <w:tcW w:type="pct" w:w="21%"/>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Recommandation</w:t>
            </w:r>
          </w:p>
        </w:tc>
        <w:tc>
          <w:tcPr>
            <w:tcW w:type="pct" w:w="70%"/>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Détail</w:t>
            </w:r>
          </w:p>
        </w:tc>
      </w:tr>
      <w:tr>
        <w:trPr>
          <w:tblHeader w:val="false"/>
        </w:trPr>
        <w:tc>
          <w:tcPr>
            <w:tcW w:type="pct" w:w="9%"/>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R5</w:t>
            </w:r>
          </w:p>
        </w:tc>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Proposer un Blueprint-lite</w:t>
            </w:r>
          </w:p>
        </w:tc>
        <w:tc>
          <w:tcPr>
            <w:tcW w:type="pct" w:w="7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Version minimale de l'architecture avec uniquement les composants essentiels. Montrer par ablation que chaque couche ajoutée apporte un gain mesurable et statistiquement significatif.</w:t>
            </w:r>
          </w:p>
        </w:tc>
      </w:tr>
      <w:tr>
        <w:trPr>
          <w:tblHeader w:val="false"/>
        </w:trPr>
        <w:tc>
          <w:tcPr>
            <w:tcW w:type="pct" w:w="9%"/>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R6</w:t>
            </w:r>
          </w:p>
        </w:tc>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Briser la circularité</w:t>
            </w:r>
          </w:p>
        </w:tc>
        <w:tc>
          <w:tcPr>
            <w:tcW w:type="pct" w:w="7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Introduire des critères d'évaluation externes au cadre Blueprint. Utiliser des métriques standard de la communauté EdTech/AIED (rétention, NASA-TLX, SUS).</w:t>
            </w:r>
          </w:p>
        </w:tc>
      </w:tr>
      <w:tr>
        <w:trPr>
          <w:tblHeader w:val="false"/>
        </w:trPr>
        <w:tc>
          <w:tcPr>
            <w:tcW w:type="pct" w:w="9%"/>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R7</w:t>
            </w:r>
          </w:p>
        </w:tc>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Clarifier le registre</w:t>
            </w:r>
          </w:p>
        </w:tc>
        <w:tc>
          <w:tcPr>
            <w:tcW w:type="pct" w:w="7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Séparer clairement les sections formelles/mathématiques des sections philosophiques/métaphoriques. Étiqueter chaque formalisme : « modèle implémentable » vs « cadre conceptuel ».</w:t>
            </w:r>
          </w:p>
        </w:tc>
      </w:tr>
      <w:tr>
        <w:trPr>
          <w:tblHeader w:val="false"/>
        </w:trPr>
        <w:tc>
          <w:tcPr>
            <w:tcW w:type="pct" w:w="9%"/>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R8</w:t>
            </w:r>
          </w:p>
        </w:tc>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Ajouter un positionnement concurrentiel</w:t>
            </w:r>
          </w:p>
        </w:tc>
        <w:tc>
          <w:tcPr>
            <w:tcW w:type="pct" w:w="7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Tableau comparatif avec les 5–10 systèmes ITS les plus proches, sur au moins 8 critères standardisés.</w:t>
            </w:r>
          </w:p>
        </w:tc>
      </w:tr>
      <w:tr>
        <w:trPr>
          <w:tblHeader w:val="false"/>
        </w:trPr>
        <w:tc>
          <w:tcPr>
            <w:tcW w:type="pct" w:w="9%"/>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R9</w:t>
            </w:r>
          </w:p>
        </w:tc>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Proposer un protocole expérimental</w:t>
            </w:r>
          </w:p>
        </w:tc>
        <w:tc>
          <w:tcPr>
            <w:tcW w:type="pct" w:w="7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Détailler un design expérimental complet : population, domaine, métriques, durée, baselines, analyse statistique prévue, puissance statistique, pré-enregistrement.</w:t>
            </w:r>
          </w:p>
        </w:tc>
      </w:tr>
      <w:tr>
        <w:trPr>
          <w:tblHeader w:val="false"/>
        </w:trPr>
        <w:tc>
          <w:tcPr>
            <w:tcW w:type="pct" w:w="9%"/>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R10</w:t>
            </w:r>
          </w:p>
        </w:tc>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Publier Blueprint en open-source</w:t>
            </w:r>
          </w:p>
        </w:tc>
        <w:tc>
          <w:tcPr>
            <w:tcW w:type="pct" w:w="7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Permettre la vérification indépendante de la cohérence interne des 121 garde-fous et invariants. Fournir une implémentation de référence testable.</w:t>
            </w:r>
          </w:p>
        </w:tc>
      </w:tr>
    </w:tbl>
    <w:p>
      <w:pPr>
        <w:spacing w:after="200" w:before="0"/>
      </w:pPr>
    </w:p>
    <w:p>
      <w:pPr>
        <w:pStyle w:val="Heading1"/>
        <w:spacing w:after="120" w:before="480" w:line="312" w:lineRule="auto"/>
      </w:pPr>
      <w:r>
        <w:rPr>
          <w:rFonts w:ascii="Cambria" w:cs="Cambria" w:eastAsia="Cambria" w:hAnsi="Cambria"/>
          <w:color w:val="1A1A1A"/>
          <w:sz w:val="48"/>
          <w:szCs w:val="48"/>
        </w:rPr>
        <w:t xml:space="preserve">Section 8 — Matrice de risque synthétique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9%"/>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w:t>
            </w:r>
          </w:p>
        </w:tc>
        <w:tc>
          <w:tcPr>
            <w:tcW w:type="pct" w:w="20%"/>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Risque</w:t>
            </w:r>
          </w:p>
        </w:tc>
        <w:tc>
          <w:tcPr>
            <w:tcW w:type="pct" w:w="14%"/>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Catégorie</w:t>
            </w:r>
          </w:p>
        </w:tc>
        <w:tc>
          <w:tcPr>
            <w:tcW w:type="pct" w:w="11%"/>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Sévérité</w:t>
            </w:r>
          </w:p>
        </w:tc>
        <w:tc>
          <w:tcPr>
            <w:tcW w:type="pct" w:w="11%"/>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Probabilité</w:t>
            </w:r>
          </w:p>
        </w:tc>
        <w:tc>
          <w:tcPr>
            <w:tcW w:type="pct" w:w="18%"/>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Impact</w:t>
            </w:r>
          </w:p>
        </w:tc>
        <w:tc>
          <w:tcPr>
            <w:tcW w:type="pct" w:w="17%"/>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Recommandation</w:t>
            </w:r>
          </w:p>
        </w:tc>
      </w:tr>
      <w:tr>
        <w:trPr>
          <w:tblHeader w:val="false"/>
        </w:trPr>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1</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Absence de validation empirique</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Méthodologique</w:t>
            </w:r>
          </w:p>
        </w:tc>
        <w:tc>
          <w:tcPr>
            <w:tcW w:type="pct" w:w="11%"/>
            <w:tcMar>
              <w:top w:type="dxa" w:w="90"/>
              <w:left w:type="dxa" w:w="120"/>
              <w:bottom w:type="dxa" w:w="90"/>
              <w:right w:type="dxa" w:w="120"/>
            </w:tcMar>
          </w:tcPr>
          <w:p>
            <w:r>
              <w:rPr>
                <w:rFonts w:ascii="Constantia" w:cs="Constantia" w:eastAsia="Constantia" w:hAnsi="Constantia"/>
                <w:b/>
                <w:bCs/>
                <w:i w:val="false"/>
                <w:iCs w:val="false"/>
                <w:strike w:val="false"/>
                <w:color w:val="CC0000"/>
                <w:sz w:val="24"/>
                <w:szCs w:val="24"/>
              </w:rPr>
              <w:t xml:space="preserve">CRITIQUE</w:t>
            </w:r>
          </w:p>
        </w:tc>
        <w:tc>
          <w:tcPr>
            <w:tcW w:type="pct" w:w="1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Certaine</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Rejet éditorial</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R1 — Prototype minimal</w:t>
            </w:r>
          </w:p>
        </w:tc>
      </w:tr>
      <w:tr>
        <w:trPr>
          <w:tblHeader w:val="false"/>
        </w:trPr>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2</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Formalismes non-falsifiables</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Théorique</w:t>
            </w:r>
          </w:p>
        </w:tc>
        <w:tc>
          <w:tcPr>
            <w:tcW w:type="pct" w:w="11%"/>
            <w:tcMar>
              <w:top w:type="dxa" w:w="90"/>
              <w:left w:type="dxa" w:w="120"/>
              <w:bottom w:type="dxa" w:w="90"/>
              <w:right w:type="dxa" w:w="120"/>
            </w:tcMar>
          </w:tcPr>
          <w:p>
            <w:r>
              <w:rPr>
                <w:rFonts w:ascii="Constantia" w:cs="Constantia" w:eastAsia="Constantia" w:hAnsi="Constantia"/>
                <w:b/>
                <w:bCs/>
                <w:i w:val="false"/>
                <w:iCs w:val="false"/>
                <w:strike w:val="false"/>
                <w:color w:val="CC7A00"/>
                <w:sz w:val="24"/>
                <w:szCs w:val="24"/>
              </w:rPr>
              <w:t xml:space="preserve">MAJEUR</w:t>
            </w:r>
          </w:p>
        </w:tc>
        <w:tc>
          <w:tcPr>
            <w:tcW w:type="pct" w:w="1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Élevée</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Crédibilité scientifique</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R2 — Opérationnaliser</w:t>
            </w:r>
          </w:p>
        </w:tc>
      </w:tr>
      <w:tr>
        <w:trPr>
          <w:tblHeader w:val="false"/>
        </w:trPr>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3</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Revue de littérature incomplète</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Méthodologique</w:t>
            </w:r>
          </w:p>
        </w:tc>
        <w:tc>
          <w:tcPr>
            <w:tcW w:type="pct" w:w="11%"/>
            <w:tcMar>
              <w:top w:type="dxa" w:w="90"/>
              <w:left w:type="dxa" w:w="120"/>
              <w:bottom w:type="dxa" w:w="90"/>
              <w:right w:type="dxa" w:w="120"/>
            </w:tcMar>
          </w:tcPr>
          <w:p>
            <w:r>
              <w:rPr>
                <w:rFonts w:ascii="Constantia" w:cs="Constantia" w:eastAsia="Constantia" w:hAnsi="Constantia"/>
                <w:b/>
                <w:bCs/>
                <w:i w:val="false"/>
                <w:iCs w:val="false"/>
                <w:strike w:val="false"/>
                <w:color w:val="CC7A00"/>
                <w:sz w:val="24"/>
                <w:szCs w:val="24"/>
              </w:rPr>
              <w:t xml:space="preserve">MAJEUR</w:t>
            </w:r>
          </w:p>
        </w:tc>
        <w:tc>
          <w:tcPr>
            <w:tcW w:type="pct" w:w="1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Certaine</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Positionnement faible</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R3 — Élargir</w:t>
            </w:r>
          </w:p>
        </w:tc>
      </w:tr>
      <w:tr>
        <w:trPr>
          <w:tblHeader w:val="false"/>
        </w:trPr>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4</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Over-engineering théorique</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Théorique</w:t>
            </w:r>
          </w:p>
        </w:tc>
        <w:tc>
          <w:tcPr>
            <w:tcW w:type="pct" w:w="11%"/>
            <w:tcMar>
              <w:top w:type="dxa" w:w="90"/>
              <w:left w:type="dxa" w:w="120"/>
              <w:bottom w:type="dxa" w:w="90"/>
              <w:right w:type="dxa" w:w="120"/>
            </w:tcMar>
          </w:tcPr>
          <w:p>
            <w:r>
              <w:rPr>
                <w:rFonts w:ascii="Constantia" w:cs="Constantia" w:eastAsia="Constantia" w:hAnsi="Constantia"/>
                <w:b/>
                <w:bCs/>
                <w:i w:val="false"/>
                <w:iCs w:val="false"/>
                <w:strike w:val="false"/>
                <w:color w:val="8B4513"/>
                <w:sz w:val="24"/>
                <w:szCs w:val="24"/>
              </w:rPr>
              <w:t xml:space="preserve">MODÉRÉ</w:t>
            </w:r>
          </w:p>
        </w:tc>
        <w:tc>
          <w:tcPr>
            <w:tcW w:type="pct" w:w="1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Probable</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Complexité inutile</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R5 — Blueprint-lite</w:t>
            </w:r>
          </w:p>
        </w:tc>
      </w:tr>
      <w:tr>
        <w:trPr>
          <w:tblHeader w:val="false"/>
        </w:trPr>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5</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Tension formalisme / métaphore</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Théorique</w:t>
            </w:r>
          </w:p>
        </w:tc>
        <w:tc>
          <w:tcPr>
            <w:tcW w:type="pct" w:w="11%"/>
            <w:tcMar>
              <w:top w:type="dxa" w:w="90"/>
              <w:left w:type="dxa" w:w="120"/>
              <w:bottom w:type="dxa" w:w="90"/>
              <w:right w:type="dxa" w:w="120"/>
            </w:tcMar>
          </w:tcPr>
          <w:p>
            <w:r>
              <w:rPr>
                <w:rFonts w:ascii="Constantia" w:cs="Constantia" w:eastAsia="Constantia" w:hAnsi="Constantia"/>
                <w:b/>
                <w:bCs/>
                <w:i w:val="false"/>
                <w:iCs w:val="false"/>
                <w:strike w:val="false"/>
                <w:color w:val="8B4513"/>
                <w:sz w:val="24"/>
                <w:szCs w:val="24"/>
              </w:rPr>
              <w:t xml:space="preserve">MODÉRÉ</w:t>
            </w:r>
          </w:p>
        </w:tc>
        <w:tc>
          <w:tcPr>
            <w:tcW w:type="pct" w:w="1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Certaine</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Ambiguïté épistémologique</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R7 — Clarifier registre</w:t>
            </w:r>
          </w:p>
        </w:tc>
      </w:tr>
      <w:tr>
        <w:trPr>
          <w:tblHeader w:val="false"/>
        </w:trPr>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6</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Circularité Blueprint</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Théorique</w:t>
            </w:r>
          </w:p>
        </w:tc>
        <w:tc>
          <w:tcPr>
            <w:tcW w:type="pct" w:w="11%"/>
            <w:tcMar>
              <w:top w:type="dxa" w:w="90"/>
              <w:left w:type="dxa" w:w="120"/>
              <w:bottom w:type="dxa" w:w="90"/>
              <w:right w:type="dxa" w:w="120"/>
            </w:tcMar>
          </w:tcPr>
          <w:p>
            <w:r>
              <w:rPr>
                <w:rFonts w:ascii="Constantia" w:cs="Constantia" w:eastAsia="Constantia" w:hAnsi="Constantia"/>
                <w:b/>
                <w:bCs/>
                <w:i w:val="false"/>
                <w:iCs w:val="false"/>
                <w:strike w:val="false"/>
                <w:color w:val="8B4513"/>
                <w:sz w:val="24"/>
                <w:szCs w:val="24"/>
              </w:rPr>
              <w:t xml:space="preserve">MODÉRÉ</w:t>
            </w:r>
          </w:p>
        </w:tc>
        <w:tc>
          <w:tcPr>
            <w:tcW w:type="pct" w:w="1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Certaine</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Non-falsifiabilité</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R6 — Critères externes</w:t>
            </w:r>
          </w:p>
        </w:tc>
      </w:tr>
      <w:tr>
        <w:trPr>
          <w:tblHeader w:val="false"/>
        </w:trPr>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7</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Scalabilité MANNs</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Technique</w:t>
            </w:r>
          </w:p>
        </w:tc>
        <w:tc>
          <w:tcPr>
            <w:tcW w:type="pct" w:w="11%"/>
            <w:tcMar>
              <w:top w:type="dxa" w:w="90"/>
              <w:left w:type="dxa" w:w="120"/>
              <w:bottom w:type="dxa" w:w="90"/>
              <w:right w:type="dxa" w:w="120"/>
            </w:tcMar>
          </w:tcPr>
          <w:p>
            <w:r>
              <w:rPr>
                <w:rFonts w:ascii="Constantia" w:cs="Constantia" w:eastAsia="Constantia" w:hAnsi="Constantia"/>
                <w:b/>
                <w:bCs/>
                <w:i w:val="false"/>
                <w:iCs w:val="false"/>
                <w:strike w:val="false"/>
                <w:color w:val="B85C00"/>
                <w:sz w:val="24"/>
                <w:szCs w:val="24"/>
              </w:rPr>
              <w:t xml:space="preserve">ÉLEVÉ</w:t>
            </w:r>
          </w:p>
        </w:tc>
        <w:tc>
          <w:tcPr>
            <w:tcW w:type="pct" w:w="1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Probable</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Déploiement impossible</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Sparse Memory</w:t>
            </w:r>
          </w:p>
        </w:tc>
      </w:tr>
      <w:tr>
        <w:trPr>
          <w:tblHeader w:val="false"/>
        </w:trPr>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8</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Mesure P(t) / H(t) / C(t)</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Technique</w:t>
            </w:r>
          </w:p>
        </w:tc>
        <w:tc>
          <w:tcPr>
            <w:tcW w:type="pct" w:w="11%"/>
            <w:tcMar>
              <w:top w:type="dxa" w:w="90"/>
              <w:left w:type="dxa" w:w="120"/>
              <w:bottom w:type="dxa" w:w="90"/>
              <w:right w:type="dxa" w:w="120"/>
            </w:tcMar>
          </w:tcPr>
          <w:p>
            <w:r>
              <w:rPr>
                <w:rFonts w:ascii="Constantia" w:cs="Constantia" w:eastAsia="Constantia" w:hAnsi="Constantia"/>
                <w:b/>
                <w:bCs/>
                <w:i w:val="false"/>
                <w:iCs w:val="false"/>
                <w:strike w:val="false"/>
                <w:color w:val="B85C00"/>
                <w:sz w:val="24"/>
                <w:szCs w:val="24"/>
              </w:rPr>
              <w:t xml:space="preserve">ÉLEVÉ</w:t>
            </w:r>
          </w:p>
        </w:tc>
        <w:tc>
          <w:tcPr>
            <w:tcW w:type="pct" w:w="1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Certaine</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Équation inutilisable</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R2 — Opérationnaliser</w:t>
            </w:r>
          </w:p>
        </w:tc>
      </w:tr>
      <w:tr>
        <w:trPr>
          <w:tblHeader w:val="false"/>
        </w:trPr>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9</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Cold start α</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Technique</w:t>
            </w:r>
          </w:p>
        </w:tc>
        <w:tc>
          <w:tcPr>
            <w:tcW w:type="pct" w:w="11%"/>
            <w:tcMar>
              <w:top w:type="dxa" w:w="90"/>
              <w:left w:type="dxa" w:w="120"/>
              <w:bottom w:type="dxa" w:w="90"/>
              <w:right w:type="dxa" w:w="120"/>
            </w:tcMar>
          </w:tcPr>
          <w:p>
            <w:r>
              <w:rPr>
                <w:rFonts w:ascii="Constantia" w:cs="Constantia" w:eastAsia="Constantia" w:hAnsi="Constantia"/>
                <w:b/>
                <w:bCs/>
                <w:i w:val="false"/>
                <w:iCs w:val="false"/>
                <w:strike w:val="false"/>
                <w:color w:val="8B4513"/>
                <w:sz w:val="24"/>
                <w:szCs w:val="24"/>
              </w:rPr>
              <w:t xml:space="preserve">MODÉRÉ</w:t>
            </w:r>
          </w:p>
        </w:tc>
        <w:tc>
          <w:tcPr>
            <w:tcW w:type="pct" w:w="1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Certaine</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UX dégradée</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Prior bayésien</w:t>
            </w:r>
          </w:p>
        </w:tc>
      </w:tr>
      <w:tr>
        <w:trPr>
          <w:tblHeader w:val="false"/>
        </w:trPr>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10</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Explosion garde-fous</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Technique</w:t>
            </w:r>
          </w:p>
        </w:tc>
        <w:tc>
          <w:tcPr>
            <w:tcW w:type="pct" w:w="11%"/>
            <w:tcMar>
              <w:top w:type="dxa" w:w="90"/>
              <w:left w:type="dxa" w:w="120"/>
              <w:bottom w:type="dxa" w:w="90"/>
              <w:right w:type="dxa" w:w="120"/>
            </w:tcMar>
          </w:tcPr>
          <w:p>
            <w:r>
              <w:rPr>
                <w:rFonts w:ascii="Constantia" w:cs="Constantia" w:eastAsia="Constantia" w:hAnsi="Constantia"/>
                <w:b/>
                <w:bCs/>
                <w:i w:val="false"/>
                <w:iCs w:val="false"/>
                <w:strike w:val="false"/>
                <w:color w:val="8B4513"/>
                <w:sz w:val="24"/>
                <w:szCs w:val="24"/>
              </w:rPr>
              <w:t xml:space="preserve">MODÉRÉ</w:t>
            </w:r>
          </w:p>
        </w:tc>
        <w:tc>
          <w:tcPr>
            <w:tcW w:type="pct" w:w="1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Probable</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Performance</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R5 — Blueprint-lite</w:t>
            </w:r>
          </w:p>
        </w:tc>
      </w:tr>
      <w:tr>
        <w:trPr>
          <w:tblHeader w:val="false"/>
        </w:trPr>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11</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Cadre propriétaire</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Technique</w:t>
            </w:r>
          </w:p>
        </w:tc>
        <w:tc>
          <w:tcPr>
            <w:tcW w:type="pct" w:w="11%"/>
            <w:tcMar>
              <w:top w:type="dxa" w:w="90"/>
              <w:left w:type="dxa" w:w="120"/>
              <w:bottom w:type="dxa" w:w="90"/>
              <w:right w:type="dxa" w:w="120"/>
            </w:tcMar>
          </w:tcPr>
          <w:p>
            <w:r>
              <w:rPr>
                <w:rFonts w:ascii="Constantia" w:cs="Constantia" w:eastAsia="Constantia" w:hAnsi="Constantia"/>
                <w:b/>
                <w:bCs/>
                <w:i w:val="false"/>
                <w:iCs w:val="false"/>
                <w:strike w:val="false"/>
                <w:color w:val="8B4513"/>
                <w:sz w:val="24"/>
                <w:szCs w:val="24"/>
              </w:rPr>
              <w:t xml:space="preserve">MODÉRÉ</w:t>
            </w:r>
          </w:p>
        </w:tc>
        <w:tc>
          <w:tcPr>
            <w:tcW w:type="pct" w:w="1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Certaine</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Non-reproductibilité</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R10 — Open-source</w:t>
            </w:r>
          </w:p>
        </w:tc>
      </w:tr>
      <w:tr>
        <w:trPr>
          <w:tblHeader w:val="false"/>
        </w:trPr>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12</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Surveillance cognitive</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Éthique</w:t>
            </w:r>
          </w:p>
        </w:tc>
        <w:tc>
          <w:tcPr>
            <w:tcW w:type="pct" w:w="11%"/>
            <w:tcMar>
              <w:top w:type="dxa" w:w="90"/>
              <w:left w:type="dxa" w:w="120"/>
              <w:bottom w:type="dxa" w:w="90"/>
              <w:right w:type="dxa" w:w="120"/>
            </w:tcMar>
          </w:tcPr>
          <w:p>
            <w:r>
              <w:rPr>
                <w:rFonts w:ascii="Constantia" w:cs="Constantia" w:eastAsia="Constantia" w:hAnsi="Constantia"/>
                <w:b/>
                <w:bCs/>
                <w:i w:val="false"/>
                <w:iCs w:val="false"/>
                <w:strike w:val="false"/>
                <w:color w:val="CC0000"/>
                <w:sz w:val="24"/>
                <w:szCs w:val="24"/>
              </w:rPr>
              <w:t xml:space="preserve">CRITIQUE</w:t>
            </w:r>
          </w:p>
        </w:tc>
        <w:tc>
          <w:tcPr>
            <w:tcW w:type="pct" w:w="1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Probable</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Vie privée violée</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R4 — Section éthique</w:t>
            </w:r>
          </w:p>
        </w:tc>
      </w:tr>
      <w:tr>
        <w:trPr>
          <w:tblHeader w:val="false"/>
        </w:trPr>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13</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Homogénéisation des parcours</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Éthique</w:t>
            </w:r>
          </w:p>
        </w:tc>
        <w:tc>
          <w:tcPr>
            <w:tcW w:type="pct" w:w="11%"/>
            <w:tcMar>
              <w:top w:type="dxa" w:w="90"/>
              <w:left w:type="dxa" w:w="120"/>
              <w:bottom w:type="dxa" w:w="90"/>
              <w:right w:type="dxa" w:w="120"/>
            </w:tcMar>
          </w:tcPr>
          <w:p>
            <w:r>
              <w:rPr>
                <w:rFonts w:ascii="Constantia" w:cs="Constantia" w:eastAsia="Constantia" w:hAnsi="Constantia"/>
                <w:b/>
                <w:bCs/>
                <w:i w:val="false"/>
                <w:iCs w:val="false"/>
                <w:strike w:val="false"/>
                <w:color w:val="B85C00"/>
                <w:sz w:val="24"/>
                <w:szCs w:val="24"/>
              </w:rPr>
              <w:t xml:space="preserve">ÉLEVÉ</w:t>
            </w:r>
          </w:p>
        </w:tc>
        <w:tc>
          <w:tcPr>
            <w:tcW w:type="pct" w:w="1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Probable</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Diversité réduite</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Corridors multiples</w:t>
            </w:r>
          </w:p>
        </w:tc>
      </w:tr>
      <w:tr>
        <w:trPr>
          <w:tblHeader w:val="false"/>
        </w:trPr>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14</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Remplacement humain</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Éthique</w:t>
            </w:r>
          </w:p>
        </w:tc>
        <w:tc>
          <w:tcPr>
            <w:tcW w:type="pct" w:w="11%"/>
            <w:tcMar>
              <w:top w:type="dxa" w:w="90"/>
              <w:left w:type="dxa" w:w="120"/>
              <w:bottom w:type="dxa" w:w="90"/>
              <w:right w:type="dxa" w:w="120"/>
            </w:tcMar>
          </w:tcPr>
          <w:p>
            <w:r>
              <w:rPr>
                <w:rFonts w:ascii="Constantia" w:cs="Constantia" w:eastAsia="Constantia" w:hAnsi="Constantia"/>
                <w:b/>
                <w:bCs/>
                <w:i w:val="false"/>
                <w:iCs w:val="false"/>
                <w:strike w:val="false"/>
                <w:color w:val="B85C00"/>
                <w:sz w:val="24"/>
                <w:szCs w:val="24"/>
              </w:rPr>
              <w:t xml:space="preserve">ÉLEVÉ</w:t>
            </w:r>
          </w:p>
        </w:tc>
        <w:tc>
          <w:tcPr>
            <w:tcW w:type="pct" w:w="1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Possible</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Relation aliénée</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Garde-fous H(t)</w:t>
            </w:r>
          </w:p>
        </w:tc>
      </w:tr>
      <w:tr>
        <w:trPr>
          <w:tblHeader w:val="false"/>
        </w:trPr>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15</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Paternalisme algorithmique</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Éthique</w:t>
            </w:r>
          </w:p>
        </w:tc>
        <w:tc>
          <w:tcPr>
            <w:tcW w:type="pct" w:w="11%"/>
            <w:tcMar>
              <w:top w:type="dxa" w:w="90"/>
              <w:left w:type="dxa" w:w="120"/>
              <w:bottom w:type="dxa" w:w="90"/>
              <w:right w:type="dxa" w:w="120"/>
            </w:tcMar>
          </w:tcPr>
          <w:p>
            <w:r>
              <w:rPr>
                <w:rFonts w:ascii="Constantia" w:cs="Constantia" w:eastAsia="Constantia" w:hAnsi="Constantia"/>
                <w:b/>
                <w:bCs/>
                <w:i w:val="false"/>
                <w:iCs w:val="false"/>
                <w:strike w:val="false"/>
                <w:color w:val="8B4513"/>
                <w:sz w:val="24"/>
                <w:szCs w:val="24"/>
              </w:rPr>
              <w:t xml:space="preserve">MODÉRÉ</w:t>
            </w:r>
          </w:p>
        </w:tc>
        <w:tc>
          <w:tcPr>
            <w:tcW w:type="pct" w:w="1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Probable</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Autonomie réduite</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Desirable difficulties</w:t>
            </w:r>
          </w:p>
        </w:tc>
      </w:tr>
      <w:tr>
        <w:trPr>
          <w:tblHeader w:val="false"/>
        </w:trPr>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16</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Fracture numérique</w:t>
            </w:r>
          </w:p>
        </w:tc>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Éthique</w:t>
            </w:r>
          </w:p>
        </w:tc>
        <w:tc>
          <w:tcPr>
            <w:tcW w:type="pct" w:w="11%"/>
            <w:tcMar>
              <w:top w:type="dxa" w:w="90"/>
              <w:left w:type="dxa" w:w="120"/>
              <w:bottom w:type="dxa" w:w="90"/>
              <w:right w:type="dxa" w:w="120"/>
            </w:tcMar>
          </w:tcPr>
          <w:p>
            <w:r>
              <w:rPr>
                <w:rFonts w:ascii="Constantia" w:cs="Constantia" w:eastAsia="Constantia" w:hAnsi="Constantia"/>
                <w:b/>
                <w:bCs/>
                <w:i w:val="false"/>
                <w:iCs w:val="false"/>
                <w:strike w:val="false"/>
                <w:color w:val="8B4513"/>
                <w:sz w:val="24"/>
                <w:szCs w:val="24"/>
              </w:rPr>
              <w:t xml:space="preserve">MODÉRÉ</w:t>
            </w:r>
          </w:p>
        </w:tc>
        <w:tc>
          <w:tcPr>
            <w:tcW w:type="pct" w:w="1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Possible</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Inégalité accrue</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Low-tech fallback</w:t>
            </w:r>
          </w:p>
        </w:tc>
      </w:tr>
    </w:tbl>
    <w:p>
      <w:pPr>
        <w:spacing w:after="200" w:before="0"/>
      </w:pPr>
    </w:p>
    <w:p>
      <w:pPr>
        <w:spacing w:after="120" w:before="60" w:line="384" w:lineRule="auto"/>
      </w:pPr>
      <w:r>
        <w:rPr>
          <w:rFonts w:ascii="Constantia" w:cs="Constantia" w:eastAsia="Constantia" w:hAnsi="Constantia"/>
          <w:b/>
          <w:bCs/>
          <w:i w:val="false"/>
          <w:iCs w:val="false"/>
          <w:strike w:val="false"/>
          <w:color w:val="000000"/>
          <w:sz w:val="24"/>
          <w:szCs w:val="24"/>
        </w:rPr>
        <w:t xml:space="preserve">Synthèse de la matrice :</w:t>
      </w:r>
      <w:r>
        <w:rPr>
          <w:rFonts w:ascii="Constantia" w:cs="Constantia" w:eastAsia="Constantia" w:hAnsi="Constantia"/>
          <w:b w:val="false"/>
          <w:bCs w:val="false"/>
          <w:i w:val="false"/>
          <w:iCs w:val="false"/>
          <w:strike w:val="false"/>
          <w:color w:val="000000"/>
          <w:sz w:val="24"/>
          <w:szCs w:val="24"/>
        </w:rPr>
        <w:t xml:space="preserve"> 2 risques CRITIQUES, 2 risques MAJEURS, 4 risques ÉLEVÉS, 8 risques MODÉRÉS. Les deux risques critiques (absence de validation empirique et surveillance cognitive) constituent des obstacles bloquants qui doivent être résolus en priorité absolue.</w:t>
      </w:r>
    </w:p>
    <w:p>
      <w:pPr>
        <w:pStyle w:val="Heading1"/>
        <w:spacing w:after="120" w:before="480" w:line="312" w:lineRule="auto"/>
      </w:pPr>
      <w:r>
        <w:rPr>
          <w:rFonts w:ascii="Cambria" w:cs="Cambria" w:eastAsia="Cambria" w:hAnsi="Cambria"/>
          <w:color w:val="1A1A1A"/>
          <w:sz w:val="48"/>
          <w:szCs w:val="48"/>
        </w:rPr>
        <w:t xml:space="preserve">Section 9 — Conclusion de l'évaluation</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Le rapport « Architecture Élève IA : Métacognition, Mémoire Externe, Curriculum et Boucle ϟP Scolaire — Intégration Blueprint C0–C4 » de Y. Maisonneuve est un travail ambitieux qui propose une vision unificatrice rare dans le paysage fragmenté de l'IA éducative. Le cadre Blueprint, malgré ses défauts structurels, offre une cohérence interne et une profondeur conceptuelle qui méritent d'être développées et confrontées à la réalité empirique.</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Cependant, en l'état actuel, le rapport présente des lacunes critiques qui empêchent sa publication dans une venue peer-reviewed de premier plan :</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L'absence totale de validation empirique</w:t>
      </w:r>
      <w:r>
        <w:rPr>
          <w:rFonts w:ascii="Constantia" w:cs="Constantia" w:eastAsia="Constantia" w:hAnsi="Constantia"/>
          <w:b w:val="false"/>
          <w:bCs w:val="false"/>
          <w:i w:val="false"/>
          <w:iCs w:val="false"/>
          <w:strike w:val="false"/>
          <w:color w:val="000000"/>
          <w:sz w:val="24"/>
          <w:szCs w:val="24"/>
        </w:rPr>
        <w:t xml:space="preserve"> est le défaut le plus grave et le plus bloquant. Sans prototype fonctionnel, sans données expérimentales, sans baselines de comparaison, le rapport reste un manifeste théorique — pas un article scientifique publiable. La communauté ML/AI exige des preuves, pas des promesses.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Les formalismes mathématiques sont séduisants mais non-opérationnels.</w:t>
      </w:r>
      <w:r>
        <w:rPr>
          <w:rFonts w:ascii="Constantia" w:cs="Constantia" w:eastAsia="Constantia" w:hAnsi="Constantia"/>
          <w:b w:val="false"/>
          <w:bCs w:val="false"/>
          <w:i w:val="false"/>
          <w:iCs w:val="false"/>
          <w:strike w:val="false"/>
          <w:color w:val="000000"/>
          <w:sz w:val="24"/>
          <w:szCs w:val="24"/>
        </w:rPr>
        <w:t xml:space="preserve"> Sans opérationnalisation des variables (P, H, C), sans protocoles de mesure, sans prédictions falsifiables, les équations sont des métaphores habillées de symboles mathématiques — pas des modèles computationnels. L'écart entre l'intention formelle et la réalité implémentable est trop large.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La revue de littérature ignore des pans entiers de la recherche existante</w:t>
      </w:r>
      <w:r>
        <w:rPr>
          <w:rFonts w:ascii="Constantia" w:cs="Constantia" w:eastAsia="Constantia" w:hAnsi="Constantia"/>
          <w:b w:val="false"/>
          <w:bCs w:val="false"/>
          <w:i w:val="false"/>
          <w:iCs w:val="false"/>
          <w:strike w:val="false"/>
          <w:color w:val="000000"/>
          <w:sz w:val="24"/>
          <w:szCs w:val="24"/>
        </w:rPr>
        <w:t xml:space="preserve"> — Knowledge Tracing, ITS, ZPD, Flow Theory, Desirable Difficulties, Curriculum Learning — ce qui affaiblit le positionnement du travail et crée l'impression d'un travail conduit en isolation. Un cadre qui prétend unifier quatre domaines doit démontrer une maîtrise approfondie de chacun.</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Les risques éthiques sont sous-traités malgré leur gravité.</w:t>
      </w:r>
      <w:r>
        <w:rPr>
          <w:rFonts w:ascii="Constantia" w:cs="Constantia" w:eastAsia="Constantia" w:hAnsi="Constantia"/>
          <w:b w:val="false"/>
          <w:bCs w:val="false"/>
          <w:i w:val="false"/>
          <w:iCs w:val="false"/>
          <w:strike w:val="false"/>
          <w:color w:val="000000"/>
          <w:sz w:val="24"/>
          <w:szCs w:val="24"/>
        </w:rPr>
        <w:t xml:space="preserve"> Un système de surveillance cognitive ciblant des mineurs exige une analyse éthique approfondie, pas une ligne en discussion. Le contraste entre l'ambition du système et la superficialité du traitement éthique est préoccupant.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9F7F4" w:color="auto" w:val="clear"/>
            <w:tcMar>
              <w:top w:type="dxa" w:w="270"/>
              <w:left w:type="dxa" w:w="270"/>
              <w:bottom w:type="dxa" w:w="270"/>
              <w:right w:type="dxa" w:w="270"/>
            </w:tcMar>
          </w:tcPr>
          <w:p>
            <w:pPr>
              <w:spacing w:after="120" w:line="384" w:lineRule="auto"/>
            </w:pPr>
            <w:r>
              <w:rPr>
                <w:rFonts w:ascii="Cambria" w:cs="Cambria" w:eastAsia="Cambria" w:hAnsi="Cambria"/>
                <w:b/>
                <w:bCs/>
                <w:i w:val="false"/>
                <w:iCs w:val="false"/>
                <w:strike w:val="false"/>
                <w:color w:val="1A1A1A"/>
                <w:sz w:val="36"/>
                <w:szCs w:val="36"/>
              </w:rPr>
              <w:t xml:space="preserve">Verdict final</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Le potentiel est réel. La vision est forte. L'ambition est louable. Mais le chemin entre la vision et la publication exige un travail empirique, méthodologique et éthique substantiel. Le rapport devrait être traité comme une </w:t>
            </w:r>
            <w:r>
              <w:rPr>
                <w:rFonts w:ascii="Constantia" w:cs="Constantia" w:eastAsia="Constantia" w:hAnsi="Constantia"/>
                <w:b/>
                <w:bCs/>
                <w:i w:val="false"/>
                <w:iCs w:val="false"/>
                <w:strike w:val="false"/>
                <w:color w:val="000000"/>
                <w:sz w:val="24"/>
                <w:szCs w:val="24"/>
              </w:rPr>
              <w:t xml:space="preserve">étape intermédiaire</w:t>
            </w:r>
            <w:r>
              <w:rPr>
                <w:rFonts w:ascii="Constantia" w:cs="Constantia" w:eastAsia="Constantia" w:hAnsi="Constantia"/>
                <w:b w:val="false"/>
                <w:bCs w:val="false"/>
                <w:i w:val="false"/>
                <w:iCs w:val="false"/>
                <w:strike w:val="false"/>
                <w:color w:val="000000"/>
                <w:sz w:val="24"/>
                <w:szCs w:val="24"/>
              </w:rPr>
              <w:t xml:space="preserve"> — un document de travail (</w:t>
            </w:r>
            <w:r>
              <w:rPr>
                <w:rFonts w:ascii="Constantia" w:cs="Constantia" w:eastAsia="Constantia" w:hAnsi="Constantia"/>
                <w:b w:val="false"/>
                <w:bCs w:val="false"/>
                <w:i/>
                <w:iCs/>
                <w:strike w:val="false"/>
                <w:color w:val="000000"/>
                <w:sz w:val="24"/>
                <w:szCs w:val="24"/>
              </w:rPr>
              <w:t xml:space="preserve">working paper</w:t>
            </w:r>
            <w:r>
              <w:rPr>
                <w:rFonts w:ascii="Constantia" w:cs="Constantia" w:eastAsia="Constantia" w:hAnsi="Constantia"/>
                <w:b w:val="false"/>
                <w:bCs w:val="false"/>
                <w:i w:val="false"/>
                <w:iCs w:val="false"/>
                <w:strike w:val="false"/>
                <w:color w:val="000000"/>
                <w:sz w:val="24"/>
                <w:szCs w:val="24"/>
              </w:rPr>
              <w:t xml:space="preserve">) — et non comme un produit fini prêt à la soumission.</w:t>
            </w:r>
          </w:p>
        </w:tc>
      </w:tr>
    </w:tbl>
    <w:p>
      <w:pPr>
        <w:spacing w:after="240" w:before="0"/>
      </w:pPr>
    </w:p>
    <w:p>
      <w:pPr>
        <w:spacing w:after="120" w:before="60" w:line="384" w:lineRule="auto"/>
      </w:pPr>
      <w:r>
        <w:rPr>
          <w:rFonts w:ascii="Constantia" w:cs="Constantia" w:eastAsia="Constantia" w:hAnsi="Constantia"/>
          <w:b/>
          <w:bCs/>
          <w:i w:val="false"/>
          <w:iCs w:val="false"/>
          <w:strike w:val="false"/>
          <w:color w:val="000000"/>
          <w:sz w:val="24"/>
          <w:szCs w:val="24"/>
        </w:rPr>
        <w:t xml:space="preserve">Recommandation finale :</w:t>
      </w:r>
      <w:r>
        <w:rPr>
          <w:rFonts w:ascii="Constantia" w:cs="Constantia" w:eastAsia="Constantia" w:hAnsi="Constantia"/>
          <w:b w:val="false"/>
          <w:bCs w:val="false"/>
          <w:i w:val="false"/>
          <w:iCs w:val="false"/>
          <w:strike w:val="false"/>
          <w:color w:val="000000"/>
          <w:sz w:val="24"/>
          <w:szCs w:val="24"/>
        </w:rPr>
        <w:t xml:space="preserve"> Ne pas soumettre en l'état. Implémenter les quatre recommandations prioritaires — R1 (prototype minimal), R2 (opérationnaliser les variables), R3 (élargir la littérature) et R4 (section éthique complète) — avant toute soumission. Viser une venue comme </w:t>
      </w:r>
      <w:r>
        <w:rPr>
          <w:rFonts w:ascii="Constantia" w:cs="Constantia" w:eastAsia="Constantia" w:hAnsi="Constantia"/>
          <w:b/>
          <w:bCs/>
          <w:i w:val="false"/>
          <w:iCs w:val="false"/>
          <w:strike w:val="false"/>
          <w:color w:val="000000"/>
          <w:sz w:val="24"/>
          <w:szCs w:val="24"/>
        </w:rPr>
        <w:t xml:space="preserve">AIED</w:t>
      </w:r>
      <w:r>
        <w:rPr>
          <w:rFonts w:ascii="Constantia" w:cs="Constantia" w:eastAsia="Constantia" w:hAnsi="Constantia"/>
          <w:b w:val="false"/>
          <w:bCs w:val="false"/>
          <w:i w:val="false"/>
          <w:iCs w:val="false"/>
          <w:strike w:val="false"/>
          <w:color w:val="000000"/>
          <w:sz w:val="24"/>
          <w:szCs w:val="24"/>
        </w:rPr>
        <w:t xml:space="preserve"> (Artificial Intelligence in Education) ou </w:t>
      </w:r>
      <w:r>
        <w:rPr>
          <w:rFonts w:ascii="Constantia" w:cs="Constantia" w:eastAsia="Constantia" w:hAnsi="Constantia"/>
          <w:b/>
          <w:bCs/>
          <w:i w:val="false"/>
          <w:iCs w:val="false"/>
          <w:strike w:val="false"/>
          <w:color w:val="000000"/>
          <w:sz w:val="24"/>
          <w:szCs w:val="24"/>
        </w:rPr>
        <w:t xml:space="preserve">EDM</w:t>
      </w:r>
      <w:r>
        <w:rPr>
          <w:rFonts w:ascii="Constantia" w:cs="Constantia" w:eastAsia="Constantia" w:hAnsi="Constantia"/>
          <w:b w:val="false"/>
          <w:bCs w:val="false"/>
          <w:i w:val="false"/>
          <w:iCs w:val="false"/>
          <w:strike w:val="false"/>
          <w:color w:val="000000"/>
          <w:sz w:val="24"/>
          <w:szCs w:val="24"/>
        </w:rPr>
        <w:t xml:space="preserve"> (Educational Data Mining) plutôt que NeurIPS/ICLR — le positionnement du travail est plus adapté à la communauté EdTech-AI qu'à la communauté ML pure, et les standards de ces venues sont plus accueillants pour les travaux interdisciplinaires à fort composant conceptuel.</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Le chemin est long, mais le point de départ est prometteur. La question n'est pas de savoir si cette vision mérite d'être poursuivie — elle le mérite. La question est de savoir si l'auteur est prêt à faire le travail empirique difficile et ingrat qui transformera une vision en contribution scientifique.</w:t>
      </w:r>
    </w:p>
    <w:p>
      <w:pPr>
        <w:pStyle w:val="Heading1"/>
        <w:spacing w:after="120" w:before="480" w:line="312" w:lineRule="auto"/>
      </w:pPr>
      <w:r>
        <w:rPr>
          <w:rFonts w:ascii="Cambria" w:cs="Cambria" w:eastAsia="Cambria" w:hAnsi="Cambria"/>
          <w:color w:val="1A1A1A"/>
          <w:sz w:val="48"/>
          <w:szCs w:val="48"/>
        </w:rPr>
        <w:t xml:space="preserve">Références de l'évaluation</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Zhu, H., Sun, Y. &amp; Yang, J. (2025). Towards responsible AI in education: a systematic review on identifying and mitigating ethical risks. </w:t>
      </w:r>
      <w:r>
        <w:rPr>
          <w:rFonts w:ascii="Constantia" w:cs="Constantia" w:eastAsia="Constantia" w:hAnsi="Constantia"/>
          <w:b w:val="false"/>
          <w:bCs w:val="false"/>
          <w:i/>
          <w:iCs/>
          <w:strike w:val="false"/>
          <w:color w:val="000000"/>
          <w:sz w:val="24"/>
          <w:szCs w:val="24"/>
        </w:rPr>
        <w:t xml:space="preserve">Humanities and Social Sciences Communications</w:t>
      </w:r>
      <w:r>
        <w:rPr>
          <w:rFonts w:ascii="Constantia" w:cs="Constantia" w:eastAsia="Constantia" w:hAnsi="Constantia"/>
          <w:b w:val="false"/>
          <w:bCs w:val="false"/>
          <w:i w:val="false"/>
          <w:iCs w:val="false"/>
          <w:strike w:val="false"/>
          <w:color w:val="000000"/>
          <w:sz w:val="24"/>
          <w:szCs w:val="24"/>
        </w:rPr>
        <w:t xml:space="preserve">, 12(1111). Nature.</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García-López, I. M. &amp; Trujillo-Liñán, L. (2025). Ethical and regulatory challenges of Generative AI in education: a systematic review. </w:t>
      </w:r>
      <w:r>
        <w:rPr>
          <w:rFonts w:ascii="Constantia" w:cs="Constantia" w:eastAsia="Constantia" w:hAnsi="Constantia"/>
          <w:b w:val="false"/>
          <w:bCs w:val="false"/>
          <w:i/>
          <w:iCs/>
          <w:strike w:val="false"/>
          <w:color w:val="000000"/>
          <w:sz w:val="24"/>
          <w:szCs w:val="24"/>
        </w:rPr>
        <w:t xml:space="preserve">Frontiers in Education</w:t>
      </w:r>
      <w:r>
        <w:rPr>
          <w:rFonts w:ascii="Constantia" w:cs="Constantia" w:eastAsia="Constantia" w:hAnsi="Constantia"/>
          <w:b w:val="false"/>
          <w:bCs w:val="false"/>
          <w:i w:val="false"/>
          <w:iCs w:val="false"/>
          <w:strike w:val="false"/>
          <w:color w:val="000000"/>
          <w:sz w:val="24"/>
          <w:szCs w:val="24"/>
        </w:rPr>
        <w:t xml:space="preserve">, 10.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Gkintoni, E., et al. (2025). Challenging Cognitive Load Theory: The Role of Educational Neuroscience and AI. </w:t>
      </w:r>
      <w:r>
        <w:rPr>
          <w:rFonts w:ascii="Constantia" w:cs="Constantia" w:eastAsia="Constantia" w:hAnsi="Constantia"/>
          <w:b w:val="false"/>
          <w:bCs w:val="false"/>
          <w:i/>
          <w:iCs/>
          <w:strike w:val="false"/>
          <w:color w:val="000000"/>
          <w:sz w:val="24"/>
          <w:szCs w:val="24"/>
        </w:rPr>
        <w:t xml:space="preserve">Brain Sciences</w:t>
      </w:r>
      <w:r>
        <w:rPr>
          <w:rFonts w:ascii="Constantia" w:cs="Constantia" w:eastAsia="Constantia" w:hAnsi="Constantia"/>
          <w:b w:val="false"/>
          <w:bCs w:val="false"/>
          <w:i w:val="false"/>
          <w:iCs w:val="false"/>
          <w:strike w:val="false"/>
          <w:color w:val="000000"/>
          <w:sz w:val="24"/>
          <w:szCs w:val="24"/>
        </w:rPr>
        <w:t xml:space="preserve">, 15(2), 203.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Ganiev, A., et al. (2026). Cognitive load theory and AI integration: Optimizing educational technology. </w:t>
      </w:r>
      <w:r>
        <w:rPr>
          <w:rFonts w:ascii="Constantia" w:cs="Constantia" w:eastAsia="Constantia" w:hAnsi="Constantia"/>
          <w:b w:val="false"/>
          <w:bCs w:val="false"/>
          <w:i/>
          <w:iCs/>
          <w:strike w:val="false"/>
          <w:color w:val="000000"/>
          <w:sz w:val="24"/>
          <w:szCs w:val="24"/>
        </w:rPr>
        <w:t xml:space="preserve">AIP Conference Proceedings</w:t>
      </w:r>
      <w:r>
        <w:rPr>
          <w:rFonts w:ascii="Constantia" w:cs="Constantia" w:eastAsia="Constantia" w:hAnsi="Constantia"/>
          <w:b w:val="false"/>
          <w:bCs w:val="false"/>
          <w:i w:val="false"/>
          <w:iCs w:val="false"/>
          <w:strike w:val="false"/>
          <w:color w:val="000000"/>
          <w:sz w:val="24"/>
          <w:szCs w:val="24"/>
        </w:rPr>
        <w:t xml:space="preserve">, 3393.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Rae, J. W., et al. (2016). Scaling Memory-Augmented Neural Networks with Sparse Reads and Writes. </w:t>
      </w:r>
      <w:r>
        <w:rPr>
          <w:rFonts w:ascii="Constantia" w:cs="Constantia" w:eastAsia="Constantia" w:hAnsi="Constantia"/>
          <w:b w:val="false"/>
          <w:bCs w:val="false"/>
          <w:i/>
          <w:iCs/>
          <w:strike w:val="false"/>
          <w:color w:val="000000"/>
          <w:sz w:val="24"/>
          <w:szCs w:val="24"/>
        </w:rPr>
        <w:t xml:space="preserve">Advances in Neural Information Processing Systems (NeurIPS)</w:t>
      </w:r>
      <w:r>
        <w:rPr>
          <w:rFonts w:ascii="Constantia" w:cs="Constantia" w:eastAsia="Constantia" w:hAnsi="Constantia"/>
          <w:b w:val="false"/>
          <w:bCs w:val="false"/>
          <w:i w:val="false"/>
          <w:iCs w:val="false"/>
          <w:strike w:val="false"/>
          <w:color w:val="000000"/>
          <w:sz w:val="24"/>
          <w:szCs w:val="24"/>
        </w:rPr>
        <w:t xml:space="preserve">, 29.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Karunaratne, G., et al. (2021). Robust high-dimensional memory-augmented neural networks. </w:t>
      </w:r>
      <w:r>
        <w:rPr>
          <w:rFonts w:ascii="Constantia" w:cs="Constantia" w:eastAsia="Constantia" w:hAnsi="Constantia"/>
          <w:b w:val="false"/>
          <w:bCs w:val="false"/>
          <w:i/>
          <w:iCs/>
          <w:strike w:val="false"/>
          <w:color w:val="000000"/>
          <w:sz w:val="24"/>
          <w:szCs w:val="24"/>
        </w:rPr>
        <w:t xml:space="preserve">Nature Communications</w:t>
      </w:r>
      <w:r>
        <w:rPr>
          <w:rFonts w:ascii="Constantia" w:cs="Constantia" w:eastAsia="Constantia" w:hAnsi="Constantia"/>
          <w:b w:val="false"/>
          <w:bCs w:val="false"/>
          <w:i w:val="false"/>
          <w:iCs w:val="false"/>
          <w:strike w:val="false"/>
          <w:color w:val="000000"/>
          <w:sz w:val="24"/>
          <w:szCs w:val="24"/>
        </w:rPr>
        <w:t xml:space="preserve">, 12(2468).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Jaakkola, E. (2020). Designing conceptual articles: four approaches. </w:t>
      </w:r>
      <w:r>
        <w:rPr>
          <w:rFonts w:ascii="Constantia" w:cs="Constantia" w:eastAsia="Constantia" w:hAnsi="Constantia"/>
          <w:b w:val="false"/>
          <w:bCs w:val="false"/>
          <w:i/>
          <w:iCs/>
          <w:strike w:val="false"/>
          <w:color w:val="000000"/>
          <w:sz w:val="24"/>
          <w:szCs w:val="24"/>
        </w:rPr>
        <w:t xml:space="preserve">AMS Review</w:t>
      </w:r>
      <w:r>
        <w:rPr>
          <w:rFonts w:ascii="Constantia" w:cs="Constantia" w:eastAsia="Constantia" w:hAnsi="Constantia"/>
          <w:b w:val="false"/>
          <w:bCs w:val="false"/>
          <w:i w:val="false"/>
          <w:iCs w:val="false"/>
          <w:strike w:val="false"/>
          <w:color w:val="000000"/>
          <w:sz w:val="24"/>
          <w:szCs w:val="24"/>
        </w:rPr>
        <w:t xml:space="preserve">, 10, 18–26.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Bjork, R. A. &amp; Bjork, E. L. (2011). Making things hard on yourself, but in a good way: Creating desirable difficulties to enhance learning. In M. A. Gernsbacher et al. (Eds.), </w:t>
      </w:r>
      <w:r>
        <w:rPr>
          <w:rFonts w:ascii="Constantia" w:cs="Constantia" w:eastAsia="Constantia" w:hAnsi="Constantia"/>
          <w:b w:val="false"/>
          <w:bCs w:val="false"/>
          <w:i/>
          <w:iCs/>
          <w:strike w:val="false"/>
          <w:color w:val="000000"/>
          <w:sz w:val="24"/>
          <w:szCs w:val="24"/>
        </w:rPr>
        <w:t xml:space="preserve">Psychology and the real world</w:t>
      </w:r>
      <w:r>
        <w:rPr>
          <w:rFonts w:ascii="Constantia" w:cs="Constantia" w:eastAsia="Constantia" w:hAnsi="Constantia"/>
          <w:b w:val="false"/>
          <w:bCs w:val="false"/>
          <w:i w:val="false"/>
          <w:iCs w:val="false"/>
          <w:strike w:val="false"/>
          <w:color w:val="000000"/>
          <w:sz w:val="24"/>
          <w:szCs w:val="24"/>
        </w:rPr>
        <w:t xml:space="preserve">. Worth Publishers.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Bengio, Y., Louradour, J., Collobert, R. &amp; Weston, J. (2009). Curriculum Learning. </w:t>
      </w:r>
      <w:r>
        <w:rPr>
          <w:rFonts w:ascii="Constantia" w:cs="Constantia" w:eastAsia="Constantia" w:hAnsi="Constantia"/>
          <w:b w:val="false"/>
          <w:bCs w:val="false"/>
          <w:i/>
          <w:iCs/>
          <w:strike w:val="false"/>
          <w:color w:val="000000"/>
          <w:sz w:val="24"/>
          <w:szCs w:val="24"/>
        </w:rPr>
        <w:t xml:space="preserve">Proceedings of the 26th International Conference on Machine Learning (ICML)</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Corbett, A. T. &amp; Anderson, J. R. (1995). Knowledge tracing: Modeling the acquisition of procedural knowledge. </w:t>
      </w:r>
      <w:r>
        <w:rPr>
          <w:rFonts w:ascii="Constantia" w:cs="Constantia" w:eastAsia="Constantia" w:hAnsi="Constantia"/>
          <w:b w:val="false"/>
          <w:bCs w:val="false"/>
          <w:i/>
          <w:iCs/>
          <w:strike w:val="false"/>
          <w:color w:val="000000"/>
          <w:sz w:val="24"/>
          <w:szCs w:val="24"/>
        </w:rPr>
        <w:t xml:space="preserve">User Modeling and User-Adapted Interaction</w:t>
      </w:r>
      <w:r>
        <w:rPr>
          <w:rFonts w:ascii="Constantia" w:cs="Constantia" w:eastAsia="Constantia" w:hAnsi="Constantia"/>
          <w:b w:val="false"/>
          <w:bCs w:val="false"/>
          <w:i w:val="false"/>
          <w:iCs w:val="false"/>
          <w:strike w:val="false"/>
          <w:color w:val="000000"/>
          <w:sz w:val="24"/>
          <w:szCs w:val="24"/>
        </w:rPr>
        <w:t xml:space="preserve">, 4(4), 253–278.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Piech, C., et al. (2015). Deep Knowledge Tracing. </w:t>
      </w:r>
      <w:r>
        <w:rPr>
          <w:rFonts w:ascii="Constantia" w:cs="Constantia" w:eastAsia="Constantia" w:hAnsi="Constantia"/>
          <w:b w:val="false"/>
          <w:bCs w:val="false"/>
          <w:i/>
          <w:iCs/>
          <w:strike w:val="false"/>
          <w:color w:val="000000"/>
          <w:sz w:val="24"/>
          <w:szCs w:val="24"/>
        </w:rPr>
        <w:t xml:space="preserve">Advances in Neural Information Processing Systems (NeurIPS)</w:t>
      </w:r>
      <w:r>
        <w:rPr>
          <w:rFonts w:ascii="Constantia" w:cs="Constantia" w:eastAsia="Constantia" w:hAnsi="Constantia"/>
          <w:b w:val="false"/>
          <w:bCs w:val="false"/>
          <w:i w:val="false"/>
          <w:iCs w:val="false"/>
          <w:strike w:val="false"/>
          <w:color w:val="000000"/>
          <w:sz w:val="24"/>
          <w:szCs w:val="24"/>
        </w:rPr>
        <w:t xml:space="preserve">, 28.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Csikszentmihalyi, M. (1990). </w:t>
      </w:r>
      <w:r>
        <w:rPr>
          <w:rFonts w:ascii="Constantia" w:cs="Constantia" w:eastAsia="Constantia" w:hAnsi="Constantia"/>
          <w:b w:val="false"/>
          <w:bCs w:val="false"/>
          <w:i/>
          <w:iCs/>
          <w:strike w:val="false"/>
          <w:color w:val="000000"/>
          <w:sz w:val="24"/>
          <w:szCs w:val="24"/>
        </w:rPr>
        <w:t xml:space="preserve">Flow: The Psychology of Optimal Experience</w:t>
      </w:r>
      <w:r>
        <w:rPr>
          <w:rFonts w:ascii="Constantia" w:cs="Constantia" w:eastAsia="Constantia" w:hAnsi="Constantia"/>
          <w:b w:val="false"/>
          <w:bCs w:val="false"/>
          <w:i w:val="false"/>
          <w:iCs w:val="false"/>
          <w:strike w:val="false"/>
          <w:color w:val="000000"/>
          <w:sz w:val="24"/>
          <w:szCs w:val="24"/>
        </w:rPr>
        <w:t xml:space="preserve">. Harper &amp; Row.</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Deci, E. L. &amp; Ryan, R. M. (2000). The "What" and "Why" of Goal Pursuits: Human Needs and the Self-Determination of Behavior. </w:t>
      </w:r>
      <w:r>
        <w:rPr>
          <w:rFonts w:ascii="Constantia" w:cs="Constantia" w:eastAsia="Constantia" w:hAnsi="Constantia"/>
          <w:b w:val="false"/>
          <w:bCs w:val="false"/>
          <w:i/>
          <w:iCs/>
          <w:strike w:val="false"/>
          <w:color w:val="000000"/>
          <w:sz w:val="24"/>
          <w:szCs w:val="24"/>
        </w:rPr>
        <w:t xml:space="preserve">Psychological Inquiry</w:t>
      </w:r>
      <w:r>
        <w:rPr>
          <w:rFonts w:ascii="Constantia" w:cs="Constantia" w:eastAsia="Constantia" w:hAnsi="Constantia"/>
          <w:b w:val="false"/>
          <w:bCs w:val="false"/>
          <w:i w:val="false"/>
          <w:iCs w:val="false"/>
          <w:strike w:val="false"/>
          <w:color w:val="000000"/>
          <w:sz w:val="24"/>
          <w:szCs w:val="24"/>
        </w:rPr>
        <w:t xml:space="preserve">, 11(4), 227–268.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De Jong, T. (2010). Cognitive load theory, educational research, and instructional design: Some food for thought. </w:t>
      </w:r>
      <w:r>
        <w:rPr>
          <w:rFonts w:ascii="Constantia" w:cs="Constantia" w:eastAsia="Constantia" w:hAnsi="Constantia"/>
          <w:b w:val="false"/>
          <w:bCs w:val="false"/>
          <w:i/>
          <w:iCs/>
          <w:strike w:val="false"/>
          <w:color w:val="000000"/>
          <w:sz w:val="24"/>
          <w:szCs w:val="24"/>
        </w:rPr>
        <w:t xml:space="preserve">Instructional Science</w:t>
      </w:r>
      <w:r>
        <w:rPr>
          <w:rFonts w:ascii="Constantia" w:cs="Constantia" w:eastAsia="Constantia" w:hAnsi="Constantia"/>
          <w:b w:val="false"/>
          <w:bCs w:val="false"/>
          <w:i w:val="false"/>
          <w:iCs w:val="false"/>
          <w:strike w:val="false"/>
          <w:color w:val="000000"/>
          <w:sz w:val="24"/>
          <w:szCs w:val="24"/>
        </w:rPr>
        <w:t xml:space="preserve">, 38(2), 105–134.</w:t>
      </w:r>
    </w:p>
    <w:p>
      <w:pPr>
        <w:spacing w:after="120" w:before="60" w:line="384" w:lineRule="auto"/>
      </w:pPr>
      <w:r>
        <w:rPr>
          <w:rFonts w:ascii="Constantia" w:cs="Constantia" w:eastAsia="Constantia" w:hAnsi="Constantia"/>
          <w:b w:val="false"/>
          <w:bCs w:val="false"/>
          <w:i w:val="false"/>
          <w:iCs w:val="false"/>
          <w:strike w:val="false"/>
          <w:color w:val="666666"/>
          <w:sz w:val="24"/>
          <w:szCs w:val="24"/>
        </w:rPr>
        <w:t xml:space="preserve">Ce document d'évaluation a été rédigé dans un esprit de rigueur académique et de contribution constructive. Les critiques formulées visent à renforcer le travail évalué, non à le décourager. L'auteur est encouragé à traiter ce peer review comme une feuille de route vers une publication de qualité.</w:t>
      </w:r>
    </w:p>
    <w:p>
      <w:pPr>
        <w:spacing w:after="120" w:before="60" w:line="384" w:lineRule="auto"/>
      </w:pPr>
      <w:r>
        <w:rPr>
          <w:rFonts w:ascii="Constantia" w:cs="Constantia" w:eastAsia="Constantia" w:hAnsi="Constantia"/>
          <w:b w:val="false"/>
          <w:bCs w:val="false"/>
          <w:i w:val="false"/>
          <w:iCs w:val="false"/>
          <w:strike w:val="false"/>
          <w:color w:val="666666"/>
          <w:sz w:val="24"/>
          <w:szCs w:val="24"/>
        </w:rPr>
        <w:t xml:space="preserve">Document généré — Avril 2026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YUWZchodBDM89gPnxRVxR</dc:title>
  <dc:creator>Un-named</dc:creator>
  <dc:description>Generated document</dc:description>
  <cp:lastModifiedBy>Un-named</cp:lastModifiedBy>
  <cp:revision>1</cp:revision>
  <dcterms:created xsi:type="dcterms:W3CDTF">2026-04-24T00:37:23.235Z</dcterms:created>
  <dcterms:modified xsi:type="dcterms:W3CDTF">2026-04-24T00:37:23.235Z</dcterms:modified>
</cp:coreProperties>
</file>

<file path=docProps/custom.xml><?xml version="1.0" encoding="utf-8"?>
<Properties xmlns="http://schemas.openxmlformats.org/officeDocument/2006/custom-properties" xmlns:vt="http://schemas.openxmlformats.org/officeDocument/2006/docPropsVTypes"/>
</file>