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79"/>
          <w:sz w:val="56"/>
          <w:szCs w:val="56"/>
        </w:rPr>
        <w:t xml:space="preserve">CAHIER DES CHARGES</w:t>
      </w:r>
    </w:p>
    <w:p>
      <w:pPr>
        <w:spacing w:after="0" w:before="120"/>
        <w:jc w:val="center"/>
      </w:pPr>
      <w:r>
        <w:rPr>
          <w:color w:val="404040"/>
          <w:sz w:val="32"/>
          <w:szCs w:val="32"/>
        </w:rPr>
        <w:t xml:space="preserve">Plateforme d’analyse d’acquisition immobilière</w:t>
      </w:r>
    </w:p>
    <w:p>
      <w:pPr>
        <w:spacing w:after="600" w:before="60"/>
        <w:jc w:val="center"/>
      </w:pPr>
      <w:r>
        <w:rPr>
          <w:i/>
          <w:iCs/>
          <w:color w:val="808080"/>
          <w:sz w:val="24"/>
          <w:szCs w:val="24"/>
        </w:rPr>
        <w:t xml:space="preserve">Lots d’habitation et annexes (garages, caves, parkings)</w:t>
      </w:r>
    </w:p>
    <w:p>
      <w:pPr>
        <w:pBdr>
          <w:bottom w:val="single" w:color="1F4E79" w:sz="12" w:space="4"/>
        </w:pBdr>
        <w:jc w:val="center"/>
      </w:pPr>
      <w:r>
        <w:t xml:space="preserve"/>
      </w:r>
    </w:p>
    <w:p>
      <w:pPr>
        <w:spacing w:before="400"/>
        <w:jc w:val="center"/>
      </w:pPr>
      <w:r>
        <w:rPr>
          <w:color w:val="404040"/>
          <w:sz w:val="22"/>
          <w:szCs w:val="22"/>
        </w:rPr>
        <w:t xml:space="preserve">Stack : Next.js · Supabase · Vercel — développement assisté par Cursor</w:t>
      </w:r>
    </w:p>
    <w:p>
      <w:pPr>
        <w:spacing w:before="120"/>
        <w:jc w:val="center"/>
      </w:pPr>
      <w:r>
        <w:rPr>
          <w:color w:val="808080"/>
          <w:sz w:val="22"/>
          <w:szCs w:val="22"/>
        </w:rPr>
        <w:t xml:space="preserve">Version 1.0 — 28 mai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Note de cadrage et arbitrages</w:t>
      </w:r>
    </w:p>
    <w:p>
      <w:pPr>
        <w:spacing w:after="120"/>
      </w:pPr>
      <w:r>
        <w:t xml:space="preserve">Ce document complète et corrige une première version élaborée par itérations. Les points ci-dessous résument les arbitrages structurants et les corrections apportées par rapport aux échanges initiaux. Ils doivent être lus avant toute spécification technique.</w:t>
      </w:r>
    </w:p>
    <w:p>
      <w:pPr>
        <w:pStyle w:val="Heading2"/>
      </w:pPr>
      <w:r>
        <w:t xml:space="preserve">0.1 Corrections critiques apportées</w:t>
      </w:r>
    </w:p>
    <w:p>
      <w:pPr>
        <w:spacing w:after="120"/>
      </w:pPr>
      <w:r>
        <w:rPr>
          <w:b/>
          <w:bCs/>
        </w:rPr>
        <w:t xml:space="preserve">Mapping financier corrigé. </w:t>
      </w:r>
      <w:r>
        <w:t xml:space="preserve">La V0 mappait le « loyer hors charges » sur la colonne « Loyer TTC » du CSV, ce qui fausse l’intégralité des calculs de rentabilité (l’objet même de l’outil). Le loyer hors charges doit être mappé sur le « Loyer HT », et les charges sur les « Provisions HT/TTC ». Une étape de vérification manuelle sur quelques lignes est imposée avant tout import en masse.</w:t>
      </w:r>
    </w:p>
    <w:p>
      <w:pPr>
        <w:spacing w:after="120"/>
      </w:pPr>
      <w:r>
        <w:rPr>
          <w:b/>
          <w:bCs/>
        </w:rPr>
        <w:t xml:space="preserve">Pseudonymisation réelle. </w:t>
      </w:r>
      <w:r>
        <w:t xml:space="preserve">Renommer un locataire en « Locataire 12 » tout en important sa date de naissance, son lieu de naissance, sa profession, son SIRET ou son n° CAF ne constitue pas une anonymisation : ces champs restent ré-identifiants. L’outil servant uniquement la décision d’achat, AUCUNE donnée nominative ni quasi-identifiant n’est importée. Seuls le statut, les montants financiers et l’ancienneté du bail sont conservés.</w:t>
      </w:r>
    </w:p>
    <w:p>
      <w:pPr>
        <w:spacing w:after="120"/>
      </w:pPr>
      <w:r>
        <w:rPr>
          <w:b/>
          <w:bCs/>
        </w:rPr>
        <w:t xml:space="preserve">Rentabilité nette, pas seulement brute. </w:t>
      </w:r>
      <w:r>
        <w:t xml:space="preserve">Une décision d’achat ne peut reposer sur la seule rentabilité brute, structurellement optimiste. La V1 intègre taxe foncière, charges de copropriété non récupérables, vacance prévisionnelle et frais de gestion pour produire une rentabilité nette.</w:t>
      </w:r>
    </w:p>
    <w:p>
      <w:pPr>
        <w:spacing w:after="120"/>
      </w:pPr>
      <w:r>
        <w:rPr>
          <w:b/>
          <w:bCs/>
        </w:rPr>
        <w:t xml:space="preserve">Modèle de lots liés repensé. </w:t>
      </w:r>
      <w:r>
        <w:t xml:space="preserve">Un appartement peut être lié à plusieurs annexes (cas réel du fichier : T4 + Cave + Garage). La déliation n’est pas une modification de la donnée source mais un scénario qui coexiste avec le scénario « lié ».</w:t>
      </w:r>
    </w:p>
    <w:p>
      <w:pPr>
        <w:spacing w:after="120"/>
      </w:pPr>
      <w:r>
        <w:rPr>
          <w:b/>
          <w:bCs/>
        </w:rPr>
        <w:t xml:space="preserve">Détection de statut fiabilisée. </w:t>
      </w:r>
      <w:r>
        <w:t xml:space="preserve">Le statut ne se déduit pas du seul mot « VACANT » dans une colonne texte ; il croise plusieurs signaux (locataire, dates de bail, préavis, date de sortie).</w:t>
      </w:r>
    </w:p>
    <w:p>
      <w:pPr>
        <w:pStyle w:val="Heading2"/>
      </w:pPr>
      <w:r>
        <w:t xml:space="preserve">0.2 Arbitrages validés avec le commanditaire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Sujet</w:t>
            </w:r>
          </w:p>
        </w:tc>
        <w:tc>
          <w:tcPr>
            <w:tcW w:type="dxa" w:w="6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Décision retenue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Analyse financière</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Rentabilité brute ET nette (taxe foncière, charges non récupérables, vacance). Pas de cash-flow après emprunt en V1.</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Données locataires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Pseudonymisation (« Locataire 1, 2… »). Aucune coordonnée ni quasi-identifiant importé.</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Accès</w:t>
            </w:r>
          </w:p>
        </w:tc>
        <w:tc>
          <w:tcPr>
            <w:tcW w:type="dxa" w:w="6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Liste blanche de 1 à 2 e-mails autorisés (propriétaire + admin technique), MFA obligatoire. Tout autre compte refusé.</w:t>
            </w:r>
          </w:p>
        </w:tc>
      </w:tr>
    </w:tbl>
    <w:p>
      <w:pPr>
        <w:pStyle w:val="Heading2"/>
      </w:pPr>
      <w:r>
        <w:t xml:space="preserve">0.3 Points de vigilance résiduels (à challenger)</w:t>
      </w:r>
    </w:p>
    <w:p>
      <w:pPr>
        <w:pStyle w:val="ListParagraph"/>
        <w:numPr>
          <w:ilvl w:val="0"/>
          <w:numId w:val="2"/>
        </w:numPr>
        <w:spacing w:after="60"/>
      </w:pPr>
      <w:r>
        <w:t xml:space="preserve">Le « Loyer TTC » de ce type d’export peut, selon le paramétrage du logiciel source, inclure ou non les provisions : à confirmer formellement avant l’import définitif.</w:t>
      </w:r>
    </w:p>
    <w:p>
      <w:pPr>
        <w:pStyle w:val="ListParagraph"/>
        <w:numPr>
          <w:ilvl w:val="0"/>
          <w:numId w:val="2"/>
        </w:numPr>
        <w:spacing w:after="60"/>
      </w:pPr>
      <w:r>
        <w:t xml:space="preserve">Sans cash-flow après financement, l’outil compare des rendements mais ne dit pas si l’opération est finançable. Une V2 « simulation d’emprunt » est fortement recommandée (voir §11).</w:t>
      </w:r>
    </w:p>
    <w:p>
      <w:pPr>
        <w:pStyle w:val="ListParagraph"/>
        <w:numPr>
          <w:ilvl w:val="0"/>
          <w:numId w:val="2"/>
        </w:numPr>
        <w:spacing w:after="60"/>
      </w:pPr>
      <w:r>
        <w:t xml:space="preserve">La pseudonymisation impose de ne JAMAIS conserver le fichier CSV brut côté serveur : le filtrage doit se faire avant tout stockage.</w:t>
      </w:r>
    </w:p>
    <w:p>
      <w:r>
        <w:br w:type="page"/>
      </w:r>
    </w:p>
    <w:p>
      <w:pPr>
        <w:pStyle w:val="Heading1"/>
      </w:pPr>
      <w:r>
        <w:t xml:space="preserve">1. Contexte et objectifs</w:t>
      </w:r>
    </w:p>
    <w:p>
      <w:pPr>
        <w:spacing w:after="120"/>
      </w:pPr>
      <w:r>
        <w:t xml:space="preserve">L’application est un outil web privé d’aide à la décision pour un investisseur étudiant l’acquisition d’un portefeuille de lots immobiliers (appartements et annexes : garages, caves, parkings). Elle remplace un fichier statique de gestion locative par un outil interactif permettant de :</w:t>
      </w:r>
    </w:p>
    <w:p>
      <w:pPr>
        <w:pStyle w:val="ListParagraph"/>
        <w:numPr>
          <w:ilvl w:val="0"/>
          <w:numId w:val="2"/>
        </w:numPr>
        <w:spacing w:after="60"/>
      </w:pPr>
      <w:r>
        <w:t xml:space="preserve">évaluer la rentabilité (brute et nette) de chaque lot et de regroupements ;</w:t>
      </w:r>
    </w:p>
    <w:p>
      <w:pPr>
        <w:pStyle w:val="ListParagraph"/>
        <w:numPr>
          <w:ilvl w:val="0"/>
          <w:numId w:val="2"/>
        </w:numPr>
        <w:spacing w:after="60"/>
      </w:pPr>
      <w:r>
        <w:t xml:space="preserve">définir des hypothèses : prix d’achat cible, loyer cible, prix de revente à terme, travaux ;</w:t>
      </w:r>
    </w:p>
    <w:p>
      <w:pPr>
        <w:pStyle w:val="ListParagraph"/>
        <w:numPr>
          <w:ilvl w:val="0"/>
          <w:numId w:val="2"/>
        </w:numPr>
        <w:spacing w:after="60"/>
      </w:pPr>
      <w:r>
        <w:t xml:space="preserve">sélectionner des lots (« panier d’acquisition ») et simuler des scénarios de groupement ;</w:t>
      </w:r>
    </w:p>
    <w:p>
      <w:pPr>
        <w:pStyle w:val="ListParagraph"/>
        <w:numPr>
          <w:ilvl w:val="0"/>
          <w:numId w:val="2"/>
        </w:numPr>
        <w:spacing w:after="60"/>
      </w:pPr>
      <w:r>
        <w:t xml:space="preserve">simuler la déliation appartement/annexes (arbitrage location ou revente séparée) ;</w:t>
      </w:r>
    </w:p>
    <w:p>
      <w:pPr>
        <w:pStyle w:val="ListParagraph"/>
        <w:numPr>
          <w:ilvl w:val="0"/>
          <w:numId w:val="2"/>
        </w:numPr>
        <w:spacing w:after="60"/>
      </w:pPr>
      <w:r>
        <w:t xml:space="preserve">exporter les analyses au format Excel avec historique des exports.</w:t>
      </w:r>
    </w:p>
    <w:p>
      <w:pPr>
        <w:spacing w:after="120"/>
      </w:pPr>
      <w:r>
        <w:rPr>
          <w:b/>
          <w:bCs/>
        </w:rPr>
        <w:t xml:space="preserve">Hors périmètre V1 : </w:t>
      </w:r>
      <w:r>
        <w:t xml:space="preserve">gestion locative opérationnelle (quittances, relances), comptabilité, signature électronique, simulation d’emprunt (envisagée en V2).</w:t>
      </w:r>
    </w:p>
    <w:p>
      <w:pPr>
        <w:pStyle w:val="Heading1"/>
      </w:pPr>
      <w:r>
        <w:t xml:space="preserve">2.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Couche</w:t>
            </w:r>
          </w:p>
        </w:tc>
        <w:tc>
          <w:tcPr>
            <w:tcW w:type="dxa" w:w="6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Technologie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Éditeur / IA</w:t>
            </w:r>
          </w:p>
        </w:tc>
        <w:tc>
          <w:tcPr>
            <w:tcW w:type="dxa" w:w="6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Cursor (développement assisté)</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Frontend</w:t>
            </w:r>
          </w:p>
        </w:tc>
        <w:tc>
          <w:tcPr>
            <w:tcW w:type="dxa" w:w="6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Next.js (App Router), React, TypeScript, Tailwind CSS, shadcn/ui</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Tableau de données</w:t>
            </w:r>
          </w:p>
        </w:tc>
        <w:tc>
          <w:tcPr>
            <w:tcW w:type="dxa" w:w="6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TanStack Table (tri, filtres, pagination, sélection)</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Parsing CSV</w:t>
            </w:r>
          </w:p>
        </w:tc>
        <w:tc>
          <w:tcPr>
            <w:tcW w:type="dxa" w:w="6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PapaParse (côté client, avant tout envoi serveur)</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Export Excel</w:t>
            </w:r>
          </w:p>
        </w:tc>
        <w:tc>
          <w:tcPr>
            <w:tcW w:type="dxa" w:w="6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SheetJS (xlsx) ou ExcelJS</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Backend / BDD</w:t>
            </w:r>
          </w:p>
        </w:tc>
        <w:tc>
          <w:tcPr>
            <w:tcW w:type="dxa" w:w="6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Supabase (PostgreSQL, Auth, RLS, Storage)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Authentification</w:t>
            </w:r>
          </w:p>
        </w:tc>
        <w:tc>
          <w:tcPr>
            <w:tcW w:type="dxa" w:w="6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Supabase Auth — Google OAuth + MFA (TOTP)</w:t>
            </w:r>
          </w:p>
        </w:tc>
      </w:tr>
      <w:tr>
        <w:tc>
          <w:tcPr>
            <w:tcW w:type="dxa" w:w="2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Hébergement</w:t>
            </w:r>
          </w:p>
        </w:tc>
        <w:tc>
          <w:tcPr>
            <w:tcW w:type="dxa" w:w="6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Vercel</w:t>
            </w:r>
          </w:p>
        </w:tc>
      </w:tr>
    </w:tbl>
    <w:p>
      <w:pPr>
        <w:pStyle w:val="Heading1"/>
      </w:pPr>
      <w:r>
        <w:t xml:space="preserve">3. Sécurité et authentification</w:t>
      </w:r>
    </w:p>
    <w:p>
      <w:pPr>
        <w:pStyle w:val="Heading2"/>
      </w:pPr>
      <w:r>
        <w:t xml:space="preserve">3.1 Accès restreint par liste blanche</w:t>
      </w:r>
    </w:p>
    <w:p>
      <w:pPr>
        <w:spacing w:after="120"/>
      </w:pPr>
      <w:r>
        <w:t xml:space="preserve">L’application n’est pas ouverte au public. Seules 1 à 2 adresses e-mail explicitement autorisées peuvent se connecter (le propriétaire et un compte admin technique). Toute autre adresse, même authentifiée via Google, est rejetée.</w:t>
      </w:r>
    </w:p>
    <w:p>
      <w:pPr>
        <w:pStyle w:val="ListParagraph"/>
        <w:numPr>
          <w:ilvl w:val="0"/>
          <w:numId w:val="2"/>
        </w:numPr>
        <w:spacing w:after="60"/>
      </w:pPr>
      <w:r>
        <w:t xml:space="preserve">Connexion via Google OAuth (Supabase Auth).</w:t>
      </w:r>
    </w:p>
    <w:p>
      <w:pPr>
        <w:pStyle w:val="ListParagraph"/>
        <w:numPr>
          <w:ilvl w:val="0"/>
          <w:numId w:val="2"/>
        </w:numPr>
        <w:spacing w:after="60"/>
      </w:pPr>
      <w:r>
        <w:t xml:space="preserve">MFA obligatoire (TOTP / application d’authentification) activé pour chaque compte autorisé.</w:t>
      </w:r>
    </w:p>
    <w:p>
      <w:pPr>
        <w:pStyle w:val="ListParagraph"/>
        <w:numPr>
          <w:ilvl w:val="0"/>
          <w:numId w:val="2"/>
        </w:numPr>
        <w:spacing w:after="60"/>
      </w:pPr>
      <w:r>
        <w:t xml:space="preserve">Vérification de l’e-mail contre une liste blanche stockée côté serveur (variable d’environnement ou table dédiée) à chaque connexion ; redirection et déconnexion si non autorisé.</w:t>
      </w:r>
    </w:p>
    <w:p>
      <w:pPr>
        <w:pStyle w:val="ListParagraph"/>
        <w:numPr>
          <w:ilvl w:val="0"/>
          <w:numId w:val="2"/>
        </w:numPr>
        <w:spacing w:after="60"/>
      </w:pPr>
      <w:r>
        <w:t xml:space="preserve">Toutes les routes applicatives sont protégées (middleware Next.js) : redirection vers la page de connexion si la session est absente ou non autorisée.</w:t>
      </w:r>
    </w:p>
    <w:p>
      <w:pPr>
        <w:pStyle w:val="Heading2"/>
      </w:pPr>
      <w:r>
        <w:t xml:space="preserve">3.2 Sécurité des données (Supabase)</w:t>
      </w:r>
    </w:p>
    <w:p>
      <w:pPr>
        <w:pStyle w:val="ListParagraph"/>
        <w:numPr>
          <w:ilvl w:val="0"/>
          <w:numId w:val="2"/>
        </w:numPr>
        <w:spacing w:after="60"/>
      </w:pPr>
      <w:r>
        <w:t xml:space="preserve">Row Level Security (RLS) activé sur toutes les tables.</w:t>
      </w:r>
    </w:p>
    <w:p>
      <w:pPr>
        <w:pStyle w:val="ListParagraph"/>
        <w:numPr>
          <w:ilvl w:val="0"/>
          <w:numId w:val="2"/>
        </w:numPr>
        <w:spacing w:after="60"/>
      </w:pPr>
      <w:r>
        <w:t xml:space="preserve">Politiques RLS : un utilisateur n’accède qu’aux données dont le user_id correspond au sien (ou partage explicite entre les 2 comptes autorisés si souhaité).</w:t>
      </w:r>
    </w:p>
    <w:p>
      <w:pPr>
        <w:pStyle w:val="ListParagraph"/>
        <w:numPr>
          <w:ilvl w:val="0"/>
          <w:numId w:val="2"/>
        </w:numPr>
        <w:spacing w:after="60"/>
      </w:pPr>
      <w:r>
        <w:t xml:space="preserve">Aucune clé de service (service_role) exposée côté client ; opérations sensibles via Server Actions / Route Handlers.</w:t>
      </w:r>
    </w:p>
    <w:p>
      <w:pPr>
        <w:pStyle w:val="ListParagraph"/>
        <w:numPr>
          <w:ilvl w:val="0"/>
          <w:numId w:val="2"/>
        </w:numPr>
        <w:spacing w:after="60"/>
      </w:pPr>
      <w:r>
        <w:t xml:space="preserve">Le fichier CSV brut n’est jamais stocké : seules les données filtrées et pseudonymisées sont persistées.</w:t>
      </w:r>
    </w:p>
    <w:p>
      <w:pPr>
        <w:pStyle w:val="Heading1"/>
      </w:pPr>
      <w:r>
        <w:t xml:space="preserve">4. Traitement des données locataires (pseudonymisation)</w:t>
      </w:r>
    </w:p>
    <w:p>
      <w:pPr>
        <w:spacing w:after="120"/>
      </w:pPr>
      <w:r>
        <w:t xml:space="preserve">Le fichier source de gestion locative contient de nombreuses données personnelles (nom, e-mail, téléphone, date et lieu de naissance, profession, SIRET, n° CAF). L’outil n’en a aucun besoin pour évaluer un achat. La règle est donc stricte :</w:t>
      </w:r>
    </w:p>
    <w:p>
      <w:pPr>
        <w:pStyle w:val="ListParagraph"/>
        <w:numPr>
          <w:ilvl w:val="0"/>
          <w:numId w:val="2"/>
        </w:numPr>
        <w:spacing w:after="60"/>
      </w:pPr>
      <w:r>
        <w:rPr>
          <w:b/>
          <w:bCs/>
        </w:rPr>
        <w:t xml:space="preserve">Champs jamais importés : </w:t>
      </w:r>
      <w:r>
        <w:t xml:space="preserve">nom réel, e-mail, téléphone, date de naissance, lieu de naissance, profession, sexe, SIRET, n° CAF, et tout autre identifiant nominatif.</w:t>
      </w:r>
    </w:p>
    <w:p>
      <w:pPr>
        <w:pStyle w:val="ListParagraph"/>
        <w:numPr>
          <w:ilvl w:val="0"/>
          <w:numId w:val="2"/>
        </w:numPr>
        <w:spacing w:after="60"/>
      </w:pPr>
      <w:r>
        <w:rPr>
          <w:b/>
          <w:bCs/>
        </w:rPr>
        <w:t xml:space="preserve">Pseudonyme séquentiel : </w:t>
      </w:r>
      <w:r>
        <w:t xml:space="preserve">chaque locataire distinct reçoit un identifiant « Locataire 1 », « Locataire 2 »… attribué à la volée lors de l’import.</w:t>
      </w:r>
    </w:p>
    <w:p>
      <w:pPr>
        <w:pStyle w:val="ListParagraph"/>
        <w:numPr>
          <w:ilvl w:val="0"/>
          <w:numId w:val="2"/>
        </w:numPr>
        <w:spacing w:after="60"/>
      </w:pPr>
      <w:r>
        <w:rPr>
          <w:b/>
          <w:bCs/>
        </w:rPr>
        <w:t xml:space="preserve">Cohérence multi-lots : </w:t>
      </w:r>
      <w:r>
        <w:t xml:space="preserve">si un même locataire occupe un appartement ET son garage lié, il conserve le même pseudonyme sur les deux fiches (dictionnaire en mémoire pendant l’import).</w:t>
      </w:r>
    </w:p>
    <w:p>
      <w:pPr>
        <w:pStyle w:val="ListParagraph"/>
        <w:numPr>
          <w:ilvl w:val="0"/>
          <w:numId w:val="2"/>
        </w:numPr>
        <w:spacing w:after="60"/>
      </w:pPr>
      <w:r>
        <w:rPr>
          <w:b/>
          <w:bCs/>
        </w:rPr>
        <w:t xml:space="preserve">Cas vacant : </w:t>
      </w:r>
      <w:r>
        <w:t xml:space="preserve">toute valeur « VACANT » est convertie en statut « Vacant », sans pseudonyme.</w:t>
      </w:r>
    </w:p>
    <w:p>
      <w:pPr>
        <w:pStyle w:val="ListParagraph"/>
        <w:numPr>
          <w:ilvl w:val="0"/>
          <w:numId w:val="2"/>
        </w:numPr>
        <w:spacing w:after="60"/>
      </w:pPr>
      <w:r>
        <w:rPr>
          <w:b/>
          <w:bCs/>
        </w:rPr>
        <w:t xml:space="preserve">Filtrage avant stockage : </w:t>
      </w:r>
      <w:r>
        <w:t xml:space="preserve">le tri des colonnes et la pseudonymisation s’effectuent côté client (PapaParse) ; seules les données nettoyées partent vers Supabase.</w:t>
      </w:r>
    </w:p>
    <w:p>
      <w:pPr>
        <w:spacing w:after="120"/>
      </w:pPr>
      <w:r>
        <w:rPr>
          <w:b/>
          <w:bCs/>
        </w:rPr>
        <w:t xml:space="preserve">Donnée d’ancienneté conservée (non nominative) : </w:t>
      </w:r>
      <w:r>
        <w:t xml:space="preserve">la date de début de bail et la durée peuvent être conservées sous forme d’« ancienneté » (utile pour estimer le risque de vacance et la revalorisation du loyer), car non ré-identifiantes une fois le nom retiré.</w:t>
      </w:r>
    </w:p>
    <w:p>
      <w:r>
        <w:br w:type="page"/>
      </w:r>
    </w:p>
    <w:p>
      <w:pPr>
        <w:pStyle w:val="Heading1"/>
      </w:pPr>
      <w:r>
        <w:t xml:space="preserve">5. Modèle de données (Supabase)</w:t>
      </w:r>
    </w:p>
    <w:p>
      <w:pPr>
        <w:spacing w:after="120"/>
      </w:pPr>
      <w:r>
        <w:t xml:space="preserve">Principe : chaque lot (appartement, garage, cave, parking) est une entité unique. Les liens entre lots sont gérés par une table de jointure dédiée plutôt que par un simple champ parent, afin de supporter les associations multiples (1 appartement ↔ plusieurs annexes) et les scénarios de déliation sans modifier la donnée source.</w:t>
      </w:r>
    </w:p>
    <w:p>
      <w:pPr>
        <w:pStyle w:val="Heading2"/>
      </w:pPr>
      <w:r>
        <w:t xml:space="preserve">5.1 Table properties — les 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Champ</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Type</w:t>
            </w:r>
          </w:p>
        </w:tc>
        <w:tc>
          <w:tcPr>
            <w:tcW w:type="dxa" w:w="5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Description / mapping CSV</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(PK)</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Généré par Supabase</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ref_lot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N° Lot » / « Code unique »</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main_type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 Type de lot » (Appartement T4, Garage Simple…)</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nb_pieces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int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Nb de pièces » (nullable pour annexes)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surface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 Surface habitable » (ou « Surface utile » pour annexes)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building_name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Immeuble » / « Nom Bâtiment »</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address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 Adresse du lot » + « Ville »</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floor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Etage »</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dpe_grade</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 DPE » (clé pour estimer travaux de rénovation)</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status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Calculé : « Loué » / « Vacant » (cf. §6.2)</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is_annex</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bool</w:t>
            </w:r>
          </w:p>
        </w:tc>
        <w:tc>
          <w:tcPr>
            <w:tcW w:type="dxa" w:w="5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true si garage / cave / parking</w:t>
            </w:r>
          </w:p>
        </w:tc>
      </w:tr>
    </w:tbl>
    <w:p>
      <w:pPr>
        <w:pStyle w:val="Heading2"/>
      </w:pPr>
      <w:r>
        <w:t xml:space="preserve">5.2 Table lot_links — associations appartement / annexes</w:t>
      </w:r>
    </w:p>
    <w:p>
      <w:pPr>
        <w:spacing w:after="120"/>
      </w:pPr>
      <w:r>
        <w:t xml:space="preserve">Remplace le champ parent_property_id unique. Permet à un appartement d’être lié à plusieurs annexes.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Champ</w:t>
            </w:r>
          </w:p>
        </w:tc>
        <w:tc>
          <w:tcPr>
            <w:tcW w:type="dxa" w:w="2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Type</w:t>
            </w:r>
          </w:p>
        </w:tc>
        <w:tc>
          <w:tcPr>
            <w:tcW w:type="dxa" w:w="4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Description</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(PK)</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Identifiant du lien</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primary_id</w:t>
            </w:r>
          </w:p>
        </w:tc>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UUID (FK properties)</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Le lot principal (l’appartement)</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annex_id</w:t>
            </w:r>
          </w:p>
        </w:tc>
        <w:tc>
          <w:tcPr>
            <w:tcW w:type="dxa" w:w="2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(FK properties)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L’annexe liée (garage / cave / parking)</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link_source</w:t>
            </w:r>
          </w:p>
        </w:tc>
        <w:tc>
          <w:tcPr>
            <w:tcW w:type="dxa" w:w="2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auto » (déduit du CSV) ou « manuel »</w:t>
            </w:r>
          </w:p>
        </w:tc>
      </w:tr>
    </w:tbl>
    <w:p>
      <w:pPr>
        <w:pStyle w:val="Heading2"/>
      </w:pPr>
      <w:r>
        <w:t xml:space="preserve">5.3 Table financials — données financières actuelles (pseudonymisées)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Champ</w:t>
            </w:r>
          </w:p>
        </w:tc>
        <w:tc>
          <w:tcPr>
            <w:tcW w:type="dxa" w:w="15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Type</w:t>
            </w:r>
          </w:p>
        </w:tc>
        <w:tc>
          <w:tcPr>
            <w:tcW w:type="dxa" w:w="55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Description / mapping CSV</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property_id</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(FK)</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Lot concerné</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tenant_label</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Locataire 1 », « Locataire 2 » ou « Vacant »</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net_rent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Loyer HORS charges → « Loyer HT » (à confirmer)</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rental_charges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Charges → « Provisions HT/TTC »</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deposit</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Dépôt de garantie → « DDG »</w:t>
            </w:r>
          </w:p>
        </w:tc>
      </w:tr>
      <w:tr>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lease_seniority_months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int</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Ancienneté du bail (dérivée, non nominative)</w:t>
            </w:r>
          </w:p>
        </w:tc>
      </w:tr>
      <w:tr>
        <w:tc>
          <w:tcPr>
            <w:tcW w:type="dxa" w:w="23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notice_in_progress</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bool</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 Préavis en cours »</w:t>
            </w:r>
          </w:p>
        </w:tc>
      </w:tr>
    </w:tbl>
    <w:p>
      <w:pPr>
        <w:pStyle w:val="Heading2"/>
      </w:pPr>
      <w:r>
        <w:t xml:space="preserve">5.4 Table simulations — hypothèses de l’acquéreur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Champ</w:t>
            </w:r>
          </w:p>
        </w:tc>
        <w:tc>
          <w:tcPr>
            <w:tcW w:type="dxa" w:w="19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Type</w:t>
            </w:r>
          </w:p>
        </w:tc>
        <w:tc>
          <w:tcPr>
            <w:tcW w:type="dxa" w:w="47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Description</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(PK)</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Identifiant de la simulation</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property_id</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UUID (FK)</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Lot concerné</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scenario_id</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(FK scenarios)</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Scénario auquel appartient l’hypothèse (nullable)</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target_purchase_price</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Prix d’achat visé</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target_rent</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Loyer cible (hors charges)</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target_resale_price</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Prix de revente à terme estimé</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estimated_works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Travaux estimés</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annual_property_tax</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Taxe foncière annuelle</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non_recoverable_charges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Charges de copro non récupérables / an</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vacancy_rate</w:t>
            </w:r>
          </w:p>
        </w:tc>
        <w:tc>
          <w:tcPr>
            <w:tcW w:type="dxa" w:w="1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Taux de vacance prévisionnel (%)</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mgmt_fee_rate</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numeric</w:t>
            </w:r>
          </w:p>
        </w:tc>
        <w:tc>
          <w:tcPr>
            <w:tcW w:type="dxa" w:w="47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Frais de gestion (% du loyer)</w:t>
            </w:r>
          </w:p>
        </w:tc>
      </w:tr>
    </w:tbl>
    <w:p>
      <w:pPr>
        <w:pStyle w:val="Heading2"/>
      </w:pPr>
      <w:r>
        <w:t xml:space="preserve">5.5 Table scenarios — scénarios de groupement / arbitrage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Champ</w:t>
            </w:r>
          </w:p>
        </w:tc>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Type</w:t>
            </w:r>
          </w:p>
        </w:tc>
        <w:tc>
          <w:tcPr>
            <w:tcW w:type="dxa" w:w="54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(PK)</w:t>
            </w:r>
          </w:p>
        </w:tc>
        <w:tc>
          <w:tcPr>
            <w:tcW w:type="dxa" w:w="5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Identifiant du scénario</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user_id</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UUID</w:t>
            </w:r>
          </w:p>
        </w:tc>
        <w:tc>
          <w:tcPr>
            <w:tcW w:type="dxa" w:w="5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Propriétaire du scénario (RLS)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name</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Ex. « Scénario A : 5 T2 résidence X »</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mode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 lié » ou « délié »</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property_ids</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w:t>
            </w:r>
          </w:p>
        </w:tc>
        <w:tc>
          <w:tcPr>
            <w:tcW w:type="dxa" w:w="5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Lots inclus dans le scénario</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created_at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timestamptz</w:t>
            </w:r>
          </w:p>
        </w:tc>
        <w:tc>
          <w:tcPr>
            <w:tcW w:type="dxa" w:w="5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Date de création</w:t>
            </w:r>
          </w:p>
        </w:tc>
      </w:tr>
    </w:tbl>
    <w:p>
      <w:pPr>
        <w:pStyle w:val="Heading2"/>
      </w:pPr>
      <w:r>
        <w:t xml:space="preserve">5.6 Table download_history — historique des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Champ</w:t>
            </w:r>
          </w:p>
        </w:tc>
        <w:tc>
          <w:tcPr>
            <w:tcW w:type="dxa" w:w="170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Type</w:t>
            </w:r>
          </w:p>
        </w:tc>
        <w:tc>
          <w:tcPr>
            <w:tcW w:type="dxa" w:w="5460"/>
            <w:tcBorders>
              <w:top w:val="single" w:color="BFBFBF" w:sz="1"/>
              <w:left w:val="single" w:color="BFBFBF" w:sz="1"/>
              <w:bottom w:val="single" w:color="BFBFBF" w:sz="1"/>
              <w:right w:val="single" w:color="BFBFBF" w:sz="1"/>
            </w:tcBorders>
            <w:shd w:fill="1F4E79" w:val="clear"/>
            <w:tcMar>
              <w:top w:type="dxa" w:w="60"/>
              <w:left w:type="dxa" w:w="110"/>
              <w:bottom w:type="dxa" w:w="60"/>
              <w:right w:type="dxa" w:w="110"/>
            </w:tcMar>
            <w:vAlign w:val="center"/>
          </w:tcPr>
          <w:p>
            <w:r>
              <w:rPr>
                <w:b/>
                <w:bCs/>
                <w:color w:val="FFFFFF"/>
                <w:sz w:val="20"/>
                <w:szCs w:val="20"/>
              </w:rPr>
              <w:t xml:space="preserve">Description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UUID (PK)</w:t>
            </w:r>
          </w:p>
        </w:tc>
        <w:tc>
          <w:tcPr>
            <w:tcW w:type="dxa" w:w="5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Identifiant</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user_id</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UUID</w:t>
            </w:r>
          </w:p>
        </w:tc>
        <w:tc>
          <w:tcPr>
            <w:tcW w:type="dxa" w:w="5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Auteur de l’export (RLS)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exported_at</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timestamptz</w:t>
            </w:r>
          </w:p>
        </w:tc>
        <w:tc>
          <w:tcPr>
            <w:tcW w:type="dxa" w:w="5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Date et heure du clic</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file_name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Ex. export_lots_annecy_2026-05-28.xlsx</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scenario_name</w:t>
            </w:r>
          </w:p>
        </w:tc>
        <w:tc>
          <w:tcPr>
            <w:tcW w:type="dxa" w:w="1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text</w:t>
            </w:r>
          </w:p>
        </w:tc>
        <w:tc>
          <w:tcPr>
            <w:tcW w:type="dxa" w:w="54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r>
              <w:rPr>
                <w:b w:val="false"/>
                <w:bCs w:val="false"/>
                <w:color w:val="000000"/>
                <w:sz w:val="20"/>
                <w:szCs w:val="20"/>
              </w:rPr>
              <w:t xml:space="preserve">Scénario ou filtres appliqués (nullable)</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row_count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int</w:t>
            </w:r>
          </w:p>
        </w:tc>
        <w:tc>
          <w:tcPr>
            <w:tcW w:type="dxa" w:w="5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r>
              <w:rPr>
                <w:b w:val="false"/>
                <w:bCs w:val="false"/>
                <w:color w:val="000000"/>
                <w:sz w:val="20"/>
                <w:szCs w:val="20"/>
              </w:rPr>
              <w:t xml:space="preserve">Nombre de lots exportés</w:t>
            </w:r>
          </w:p>
        </w:tc>
      </w:tr>
    </w:tbl>
    <w:p>
      <w:r>
        <w:br w:type="page"/>
      </w:r>
    </w:p>
    <w:p>
      <w:pPr>
        <w:pStyle w:val="Heading1"/>
      </w:pPr>
      <w:r>
        <w:t xml:space="preserve">6. Import et traitement du fichier source</w:t>
      </w:r>
    </w:p>
    <w:p>
      <w:pPr>
        <w:pStyle w:val="Heading2"/>
      </w:pPr>
      <w:r>
        <w:t xml:space="preserve">6.1 Colonnes conservées</w:t>
      </w:r>
    </w:p>
    <w:p>
      <w:pPr>
        <w:spacing w:after="120"/>
      </w:pPr>
      <w:r>
        <w:t xml:space="preserve">Le CSV source comporte plus de 100 colonnes. Seules les colonnes utiles à la décision d’achat sont conservées ; toutes les autres (et en particulier les données personnelles) sont ignorées dès le parsing.</w:t>
      </w:r>
    </w:p>
    <w:p>
      <w:pPr>
        <w:spacing w:after="120"/>
      </w:pPr>
      <w:r>
        <w:rPr>
          <w:b/>
          <w:bCs/>
        </w:rPr>
        <w:t xml:space="preserve">Colonnes retenues : </w:t>
      </w:r>
      <w:r>
        <w:t xml:space="preserve">N° Lot, Code unique, Type de lot, Détail type, Nb de pièces, Surface habitable, Surface utile, Immeuble / Nom Bâtiment, Adresse du lot, Ville, Etage, DPE, N° lot secondaire, Désignation, Loyer HT, Loyer TTC, Provisions HT, Provisions TTC, DDG, Préavis en cours, Date d’entrée / Date début bail, Statut locataire (présence/absence + « VACANT »).</w:t>
      </w:r>
    </w:p>
    <w:p>
      <w:pPr>
        <w:spacing w:after="120"/>
      </w:pPr>
      <w:r>
        <w:rPr>
          <w:b/>
          <w:bCs/>
        </w:rPr>
        <w:t xml:space="preserve">Colonnes explicitement exclues : </w:t>
      </w:r>
      <w:r>
        <w:t xml:space="preserve">Locataire (nom), Mail, Téléphone, Date de naissance, Lieu de naissance, Profession, Sexe, SIRET, N° CAF, et tout autre champ nominatif.</w:t>
      </w:r>
    </w:p>
    <w:p>
      <w:pPr>
        <w:pStyle w:val="Heading2"/>
      </w:pPr>
      <w:r>
        <w:t xml:space="preserve">6.2 Règle de détermination du statut</w:t>
      </w:r>
    </w:p>
    <w:p>
      <w:pPr>
        <w:spacing w:after="120"/>
      </w:pPr>
      <w:r>
        <w:t xml:space="preserve">Le statut n’est pas déduit du seul mot « VACANT ». Logique recommandée :</w:t>
      </w:r>
    </w:p>
    <w:p>
      <w:pPr>
        <w:pStyle w:val="ListParagraph"/>
        <w:numPr>
          <w:ilvl w:val="0"/>
          <w:numId w:val="3"/>
        </w:numPr>
        <w:spacing w:after="80"/>
      </w:pPr>
      <w:r>
        <w:t xml:space="preserve">Si le locataire = « VACANT » (ou code VACANTx) → statut = « Vacant ».</w:t>
      </w:r>
    </w:p>
    <w:p>
      <w:pPr>
        <w:pStyle w:val="ListParagraph"/>
        <w:numPr>
          <w:ilvl w:val="0"/>
          <w:numId w:val="3"/>
        </w:numPr>
        <w:spacing w:after="80"/>
      </w:pPr>
      <w:r>
        <w:t xml:space="preserve">Sinon, si une date de sortie contractuelle est passée et aucun nouveau bail → « Vacant ».</w:t>
      </w:r>
    </w:p>
    <w:p>
      <w:pPr>
        <w:pStyle w:val="ListParagraph"/>
        <w:numPr>
          <w:ilvl w:val="0"/>
          <w:numId w:val="3"/>
        </w:numPr>
        <w:spacing w:after="80"/>
      </w:pPr>
      <w:r>
        <w:t xml:space="preserve">Sinon → « Loué ». Le drapeau « Préavis en cours » est conservé séparément pour signaler un risque de vacance imminente.</w:t>
      </w:r>
    </w:p>
    <w:p>
      <w:pPr>
        <w:pStyle w:val="Heading2"/>
      </w:pPr>
      <w:r>
        <w:t xml:space="preserve">6.3 Reconstruction des liens appartement / annexes</w:t>
      </w:r>
    </w:p>
    <w:p>
      <w:pPr>
        <w:spacing w:after="120"/>
      </w:pPr>
      <w:r>
        <w:t xml:space="preserve">Après import, un utilitaire serveur analyse les colonnes « N° lot secondaire » et « Désignation » (qui listent par exemple « Cave simple / Garage Simple » rattachés à un appartement) pour créer les enregistrements dans lot_links. Les liens non détectés automatiquement peuvent être créés ou corrigés manuellement dans l’interface (link_source = « manuel »).</w:t>
      </w:r>
    </w:p>
    <w:p>
      <w:pPr>
        <w:pStyle w:val="Heading2"/>
      </w:pPr>
      <w:r>
        <w:t xml:space="preserve">6.4 Performance</w:t>
      </w:r>
    </w:p>
    <w:p>
      <w:pPr>
        <w:pStyle w:val="ListParagraph"/>
        <w:numPr>
          <w:ilvl w:val="0"/>
          <w:numId w:val="2"/>
        </w:numPr>
        <w:spacing w:after="60"/>
      </w:pPr>
      <w:r>
        <w:t xml:space="preserve">Parsing CSV en streaming (PapaParse) pour les gros portefeuilles.</w:t>
      </w:r>
    </w:p>
    <w:p>
      <w:pPr>
        <w:pStyle w:val="ListParagraph"/>
        <w:numPr>
          <w:ilvl w:val="0"/>
          <w:numId w:val="2"/>
        </w:numPr>
        <w:spacing w:after="60"/>
      </w:pPr>
      <w:r>
        <w:t xml:space="preserve">Insertion en base par upsert groupé (batch), idempotent sur ref_lot.</w:t>
      </w:r>
    </w:p>
    <w:p>
      <w:pPr>
        <w:pStyle w:val="ListParagraph"/>
        <w:numPr>
          <w:ilvl w:val="0"/>
          <w:numId w:val="2"/>
        </w:numPr>
        <w:spacing w:after="60"/>
      </w:pPr>
      <w:r>
        <w:t xml:space="preserve">Affichage du tableau en pagination (10 à 50 lots/page).</w:t>
      </w:r>
    </w:p>
    <w:p>
      <w:r>
        <w:br w:type="page"/>
      </w:r>
    </w:p>
    <w:p>
      <w:pPr>
        <w:pStyle w:val="Heading1"/>
      </w:pPr>
      <w:r>
        <w:t xml:space="preserve">7. Fonctionnalités</w:t>
      </w:r>
    </w:p>
    <w:p>
      <w:pPr>
        <w:pStyle w:val="Heading2"/>
      </w:pPr>
      <w:r>
        <w:t xml:space="preserve">7.1 Tableau de bord (Data Grid)</w:t>
      </w:r>
    </w:p>
    <w:p>
      <w:pPr>
        <w:pStyle w:val="ListParagraph"/>
        <w:numPr>
          <w:ilvl w:val="0"/>
          <w:numId w:val="2"/>
        </w:numPr>
        <w:spacing w:after="60"/>
      </w:pPr>
      <w:r>
        <w:t xml:space="preserve">Vue tableau (TanStack Table) listant tous les lots, avec colonne de cases à cocher.</w:t>
      </w:r>
    </w:p>
    <w:p>
      <w:pPr>
        <w:pStyle w:val="ListParagraph"/>
        <w:numPr>
          <w:ilvl w:val="0"/>
          <w:numId w:val="2"/>
        </w:numPr>
        <w:spacing w:after="60"/>
      </w:pPr>
      <w:r>
        <w:t xml:space="preserve">Affichage hiérarchique : les annexes liées apparaissent imbriquées sous leur appartement (dérouler / enrouler), avec un badge « Lié » ou « Indépendant ».</w:t>
      </w:r>
    </w:p>
    <w:p>
      <w:pPr>
        <w:pStyle w:val="ListParagraph"/>
        <w:numPr>
          <w:ilvl w:val="0"/>
          <w:numId w:val="2"/>
        </w:numPr>
        <w:spacing w:after="60"/>
      </w:pPr>
      <w:r>
        <w:rPr>
          <w:b/>
          <w:bCs/>
        </w:rPr>
        <w:t xml:space="preserve">Filtres : </w:t>
      </w:r>
      <w:r>
        <w:t xml:space="preserve">statut (Loué / Vacant), immeuble / copropriété, type de lot, DPE, présence d’annexe.</w:t>
      </w:r>
    </w:p>
    <w:p>
      <w:pPr>
        <w:pStyle w:val="ListParagraph"/>
        <w:numPr>
          <w:ilvl w:val="0"/>
          <w:numId w:val="2"/>
        </w:numPr>
        <w:spacing w:after="60"/>
      </w:pPr>
      <w:r>
        <w:rPr>
          <w:b/>
          <w:bCs/>
        </w:rPr>
        <w:t xml:space="preserve">Tri : </w:t>
      </w:r>
      <w:r>
        <w:t xml:space="preserve">surface, loyer HC actuel, rentabilité estimée.</w:t>
      </w:r>
    </w:p>
    <w:p>
      <w:pPr>
        <w:pStyle w:val="ListParagraph"/>
        <w:numPr>
          <w:ilvl w:val="0"/>
          <w:numId w:val="2"/>
        </w:numPr>
        <w:spacing w:after="60"/>
      </w:pPr>
      <w:r>
        <w:t xml:space="preserve">Indicateurs de tête : nombre de lots, surface totale, loyer HC total, taux de vacance.</w:t>
      </w:r>
    </w:p>
    <w:p>
      <w:pPr>
        <w:pStyle w:val="Heading2"/>
      </w:pPr>
      <w:r>
        <w:t xml:space="preserve">7.2 Fiche lot et simulation individuelle</w:t>
      </w:r>
    </w:p>
    <w:p>
      <w:pPr>
        <w:spacing w:after="120"/>
      </w:pPr>
      <w:r>
        <w:t xml:space="preserve">Au clic sur une ligne, ouverture d’un panneau latéral (slide-over) pour saisir les hypothèses :</w:t>
      </w:r>
    </w:p>
    <w:p>
      <w:pPr>
        <w:pStyle w:val="ListParagraph"/>
        <w:numPr>
          <w:ilvl w:val="0"/>
          <w:numId w:val="2"/>
        </w:numPr>
        <w:spacing w:after="60"/>
      </w:pPr>
      <w:r>
        <w:t xml:space="preserve">Prix d’achat envisagé, frais de notaire (calcul auto ≈ 8 %, paramétrable), budget travaux, loyer cible HC, prix de revente projeté.</w:t>
      </w:r>
    </w:p>
    <w:p>
      <w:pPr>
        <w:pStyle w:val="ListParagraph"/>
        <w:numPr>
          <w:ilvl w:val="0"/>
          <w:numId w:val="2"/>
        </w:numPr>
        <w:spacing w:after="60"/>
      </w:pPr>
      <w:r>
        <w:t xml:space="preserve">Charges et fiscalité : taxe foncière, charges de copropriété non récupérables, taux de vacance, frais de gestion.</w:t>
      </w:r>
    </w:p>
    <w:p>
      <w:pPr>
        <w:spacing w:after="120"/>
      </w:pPr>
      <w:r>
        <w:rPr>
          <w:b/>
          <w:bCs/>
        </w:rPr>
        <w:t xml:space="preserve">Calculs en temps réel (cf. §8) : </w:t>
      </w:r>
      <w:r>
        <w:t xml:space="preserve">rentabilité brute, rentabilité nette, plus-value latente, rendement net après revente.</w:t>
      </w:r>
    </w:p>
    <w:p>
      <w:pPr>
        <w:pStyle w:val="Heading2"/>
      </w:pPr>
      <w:r>
        <w:t xml:space="preserve">7.3 Déliation appartement / annexes</w:t>
      </w:r>
    </w:p>
    <w:p>
      <w:pPr>
        <w:spacing w:after="120"/>
      </w:pPr>
      <w:r>
        <w:t xml:space="preserve">Sur une annexe liée, un bouton « Délier ce lot » bascule en mode arbitrage SANS modifier la donnée source :</w:t>
      </w:r>
    </w:p>
    <w:p>
      <w:pPr>
        <w:pStyle w:val="ListParagraph"/>
        <w:numPr>
          <w:ilvl w:val="0"/>
          <w:numId w:val="2"/>
        </w:numPr>
        <w:spacing w:after="60"/>
      </w:pPr>
      <w:r>
        <w:t xml:space="preserve">L’annexe devient un lot indépendant dans le scénario courant.</w:t>
      </w:r>
    </w:p>
    <w:p>
      <w:pPr>
        <w:pStyle w:val="ListParagraph"/>
        <w:numPr>
          <w:ilvl w:val="0"/>
          <w:numId w:val="2"/>
        </w:numPr>
        <w:spacing w:after="60"/>
      </w:pPr>
      <w:r>
        <w:rPr>
          <w:b/>
          <w:bCs/>
        </w:rPr>
        <w:t xml:space="preserve">Ventilation guidée : </w:t>
      </w:r>
      <w:r>
        <w:t xml:space="preserve">l’application propose une répartition par défaut du loyer global et du prix d’achat entre l’appartement et chaque annexe (ex. loyer 90/10, prix 90/10), entièrement éditable.</w:t>
      </w:r>
    </w:p>
    <w:p>
      <w:pPr>
        <w:pStyle w:val="ListParagraph"/>
        <w:numPr>
          <w:ilvl w:val="0"/>
          <w:numId w:val="2"/>
        </w:numPr>
        <w:spacing w:after="60"/>
      </w:pPr>
      <w:r>
        <w:t xml:space="preserve">Recalcul instantané des rentabilités des lots séparés.</w:t>
      </w:r>
    </w:p>
    <w:p>
      <w:pPr>
        <w:pStyle w:val="ListParagraph"/>
        <w:numPr>
          <w:ilvl w:val="0"/>
          <w:numId w:val="2"/>
        </w:numPr>
        <w:spacing w:after="60"/>
      </w:pPr>
      <w:r>
        <w:t xml:space="preserve">Comme le pseudonyme est partagé, le système sait qu’un seul locataire paie aujourd’hui l’ensemble (utile à la simulation de relocation séparée).</w:t>
      </w:r>
    </w:p>
    <w:p>
      <w:pPr>
        <w:pStyle w:val="Heading2"/>
      </w:pPr>
      <w:r>
        <w:t xml:space="preserve">7.4 Panier d’acquisition et scénarios de groupement</w:t>
      </w:r>
    </w:p>
    <w:p>
      <w:pPr>
        <w:spacing w:after="120"/>
      </w:pPr>
      <w:r>
        <w:t xml:space="preserve">Dès qu’un ou plusieurs lots sont cochés, un bandeau récapitulatif fixe affiche :</w:t>
      </w:r>
    </w:p>
    <w:p>
      <w:pPr>
        <w:pStyle w:val="ListParagraph"/>
        <w:numPr>
          <w:ilvl w:val="0"/>
          <w:numId w:val="2"/>
        </w:numPr>
        <w:spacing w:after="60"/>
      </w:pPr>
      <w:r>
        <w:t xml:space="preserve">Nombre de lots, surface totale, somme des prix d’achat cibles.</w:t>
      </w:r>
    </w:p>
    <w:p>
      <w:pPr>
        <w:pStyle w:val="ListParagraph"/>
        <w:numPr>
          <w:ilvl w:val="0"/>
          <w:numId w:val="2"/>
        </w:numPr>
        <w:spacing w:after="60"/>
      </w:pPr>
      <w:r>
        <w:t xml:space="preserve">Somme des loyers HC actuels vs loyers HC cibles.</w:t>
      </w:r>
    </w:p>
    <w:p>
      <w:pPr>
        <w:pStyle w:val="ListParagraph"/>
        <w:numPr>
          <w:ilvl w:val="0"/>
          <w:numId w:val="2"/>
        </w:numPr>
        <w:spacing w:after="60"/>
      </w:pPr>
      <w:r>
        <w:t xml:space="preserve">Rentabilité brute et nette moyenne du groupement, plus-value latente totale.</w:t>
      </w:r>
    </w:p>
    <w:p>
      <w:pPr>
        <w:pStyle w:val="ListParagraph"/>
        <w:numPr>
          <w:ilvl w:val="0"/>
          <w:numId w:val="2"/>
        </w:numPr>
        <w:spacing w:after="60"/>
      </w:pPr>
      <w:r>
        <w:rPr>
          <w:b/>
          <w:bCs/>
        </w:rPr>
        <w:t xml:space="preserve">Logique liée/déliée dans le panier : </w:t>
      </w:r>
      <w:r>
        <w:t xml:space="preserve">si l’appartement ET son annexe sont cochés → lot global ; si l’annexe est décochée → stratégie déliée appliquée, totaux ajustés automatiquement.</w:t>
      </w:r>
    </w:p>
    <w:p>
      <w:pPr>
        <w:pStyle w:val="ListParagraph"/>
        <w:numPr>
          <w:ilvl w:val="0"/>
          <w:numId w:val="2"/>
        </w:numPr>
        <w:spacing w:after="60"/>
      </w:pPr>
      <w:r>
        <w:t xml:space="preserve">Sauvegarde nommée d’un scénario (table scenarios), réouverture et comparaison.</w:t>
      </w:r>
    </w:p>
    <w:p>
      <w:pPr>
        <w:pStyle w:val="Heading2"/>
      </w:pPr>
      <w:r>
        <w:t xml:space="preserve">7.5 Scénarios d’arbitrage</w:t>
      </w:r>
    </w:p>
    <w:p>
      <w:pPr>
        <w:pStyle w:val="ListParagraph"/>
        <w:numPr>
          <w:ilvl w:val="0"/>
          <w:numId w:val="2"/>
        </w:numPr>
        <w:spacing w:after="60"/>
      </w:pPr>
      <w:r>
        <w:rPr>
          <w:b/>
          <w:bCs/>
        </w:rPr>
        <w:t xml:space="preserve">Scénario « Tout lié » : </w:t>
      </w:r>
      <w:r>
        <w:t xml:space="preserve">achat de l’ensemble, location appartement + annexe à un locataire ; rentabilité globale standard.</w:t>
      </w:r>
    </w:p>
    <w:p>
      <w:pPr>
        <w:pStyle w:val="ListParagraph"/>
        <w:numPr>
          <w:ilvl w:val="0"/>
          <w:numId w:val="2"/>
        </w:numPr>
        <w:spacing w:after="60"/>
      </w:pPr>
      <w:r>
        <w:rPr>
          <w:b/>
          <w:bCs/>
        </w:rPr>
        <w:t xml:space="preserve">Scénario « Stratégie déliée » : </w:t>
      </w:r>
      <w:r>
        <w:t xml:space="preserve">location séparée des annexes (somme des loyers souvent supérieure) et/ou revente à la découpe (appartement seul, annexe revendue séparément). Calcul de la nouvelle rentabilité et de la plus-value.</w:t>
      </w:r>
    </w:p>
    <w:p>
      <w:pPr>
        <w:pStyle w:val="Heading2"/>
      </w:pPr>
      <w:r>
        <w:t xml:space="preserve">7.6 Export Excel et historique</w:t>
      </w:r>
    </w:p>
    <w:p>
      <w:pPr>
        <w:pStyle w:val="ListParagraph"/>
        <w:numPr>
          <w:ilvl w:val="0"/>
          <w:numId w:val="2"/>
        </w:numPr>
        <w:spacing w:after="60"/>
      </w:pPr>
      <w:r>
        <w:t xml:space="preserve">Bouton d’export (SheetJS/ExcelJS) générant un .xlsx de l’état courant (lots, hypothèses, rentabilités calculées) destiné au banquier ou au courtier.</w:t>
      </w:r>
    </w:p>
    <w:p>
      <w:pPr>
        <w:pStyle w:val="ListParagraph"/>
        <w:numPr>
          <w:ilvl w:val="0"/>
          <w:numId w:val="2"/>
        </w:numPr>
        <w:spacing w:after="60"/>
      </w:pPr>
      <w:r>
        <w:t xml:space="preserve">À chaque export, insertion d’une ligne dans download_history (date, heure, nom de fichier, scénario, nombre de lots).</w:t>
      </w:r>
    </w:p>
    <w:p>
      <w:pPr>
        <w:pStyle w:val="ListParagraph"/>
        <w:numPr>
          <w:ilvl w:val="0"/>
          <w:numId w:val="2"/>
        </w:numPr>
        <w:spacing w:after="60"/>
      </w:pPr>
      <w:r>
        <w:t xml:space="preserve">Page « Historique des téléchargements » : liste chronologique (du plus récent au plus ancien).</w:t>
      </w:r>
    </w:p>
    <w:p>
      <w:r>
        <w:br w:type="page"/>
      </w:r>
    </w:p>
    <w:p>
      <w:pPr>
        <w:pStyle w:val="Heading1"/>
      </w:pPr>
      <w:r>
        <w:t xml:space="preserve">8. Formules de calcul</w:t>
      </w:r>
    </w:p>
    <w:p>
      <w:pPr>
        <w:spacing w:after="120"/>
      </w:pPr>
      <w:r>
        <w:t xml:space="preserve">Toutes les formules s’appuient sur le loyer HORS charges. Les frais de notaire et travaux sont inclus au coût de revient.</w:t>
      </w:r>
    </w:p>
    <w:p>
      <w:pPr>
        <w:pStyle w:val="Heading2"/>
      </w:pPr>
      <w:r>
        <w:t xml:space="preserve">8.1 Coût de revient</w:t>
      </w:r>
    </w:p>
    <w:p>
      <w:pPr>
        <w:spacing w:after="120"/>
      </w:pPr>
      <w:r>
        <w:rPr>
          <w:rFonts w:ascii="Consolas" w:cs="Consolas" w:eastAsia="Consolas" w:hAnsi="Consolas"/>
          <w:sz w:val="20"/>
          <w:szCs w:val="20"/>
        </w:rPr>
        <w:t xml:space="preserve">Coût de revient = Prix d’achat + Travaux + Frais de notaire</w:t>
      </w:r>
    </w:p>
    <w:p>
      <w:pPr>
        <w:pStyle w:val="Heading2"/>
      </w:pPr>
      <w:r>
        <w:t xml:space="preserve">8.2 Rentabilité brute</w:t>
      </w:r>
    </w:p>
    <w:p>
      <w:pPr>
        <w:spacing w:after="120"/>
      </w:pPr>
      <w:r>
        <w:rPr>
          <w:rFonts w:ascii="Consolas" w:cs="Consolas" w:eastAsia="Consolas" w:hAnsi="Consolas"/>
          <w:sz w:val="20"/>
          <w:szCs w:val="20"/>
        </w:rPr>
        <w:t xml:space="preserve">Rentabilité brute = (Loyer cible HC × 12) / Coût de revient</w:t>
      </w:r>
    </w:p>
    <w:p>
      <w:pPr>
        <w:pStyle w:val="Heading2"/>
      </w:pPr>
      <w:r>
        <w:t xml:space="preserve">8.3 Rentabilité nette</w:t>
      </w:r>
    </w:p>
    <w:p>
      <w:pPr>
        <w:spacing w:after="120"/>
      </w:pPr>
      <w:r>
        <w:rPr>
          <w:rFonts w:ascii="Consolas" w:cs="Consolas" w:eastAsia="Consolas" w:hAnsi="Consolas"/>
          <w:sz w:val="20"/>
          <w:szCs w:val="20"/>
        </w:rPr>
        <w:t xml:space="preserve">Revenu net annuel = Loyer HC × 12 × (1 − vacance%)</w:t>
      </w:r>
    </w:p>
    <w:p>
      <w:pPr>
        <w:spacing w:after="120"/>
      </w:pPr>
      <w:r>
        <w:rPr>
          <w:rFonts w:ascii="Consolas" w:cs="Consolas" w:eastAsia="Consolas" w:hAnsi="Consolas"/>
          <w:sz w:val="20"/>
          <w:szCs w:val="20"/>
        </w:rPr>
        <w:t xml:space="preserve">                   − Taxe foncière</w:t>
      </w:r>
    </w:p>
    <w:p>
      <w:pPr>
        <w:spacing w:after="120"/>
      </w:pPr>
      <w:r>
        <w:rPr>
          <w:rFonts w:ascii="Consolas" w:cs="Consolas" w:eastAsia="Consolas" w:hAnsi="Consolas"/>
          <w:sz w:val="20"/>
          <w:szCs w:val="20"/>
        </w:rPr>
        <w:t xml:space="preserve">                   − Charges non récupérables</w:t>
      </w:r>
    </w:p>
    <w:p>
      <w:pPr>
        <w:spacing w:after="120"/>
      </w:pPr>
      <w:r>
        <w:rPr>
          <w:rFonts w:ascii="Consolas" w:cs="Consolas" w:eastAsia="Consolas" w:hAnsi="Consolas"/>
          <w:sz w:val="20"/>
          <w:szCs w:val="20"/>
        </w:rPr>
        <w:t xml:space="preserve">                   − Frais de gestion (% × loyer encaissé)</w:t>
      </w:r>
    </w:p>
    <w:p>
      <w:pPr>
        <w:spacing w:after="120"/>
      </w:pPr>
      <w:r>
        <w:rPr>
          <w:rFonts w:ascii="Consolas" w:cs="Consolas" w:eastAsia="Consolas" w:hAnsi="Consolas"/>
          <w:sz w:val="20"/>
          <w:szCs w:val="20"/>
        </w:rPr>
        <w:t xml:space="preserve">Rentabilité nette = Revenu net annuel / Coût de revient</w:t>
      </w:r>
    </w:p>
    <w:p>
      <w:pPr>
        <w:pStyle w:val="Heading2"/>
      </w:pPr>
      <w:r>
        <w:t xml:space="preserve">8.4 Plus-value latente</w:t>
      </w:r>
    </w:p>
    <w:p>
      <w:pPr>
        <w:spacing w:after="120"/>
      </w:pPr>
      <w:r>
        <w:rPr>
          <w:rFonts w:ascii="Consolas" w:cs="Consolas" w:eastAsia="Consolas" w:hAnsi="Consolas"/>
          <w:sz w:val="20"/>
          <w:szCs w:val="20"/>
        </w:rPr>
        <w:t xml:space="preserve">Plus-value latente = Prix de revente projeté − Coût de revient</w:t>
      </w:r>
    </w:p>
    <w:p>
      <w:pPr>
        <w:pStyle w:val="Heading2"/>
      </w:pPr>
      <w:r>
        <w:t xml:space="preserve">8.5 Agrégats de groupement</w:t>
      </w:r>
    </w:p>
    <w:p>
      <w:pPr>
        <w:spacing w:after="120"/>
      </w:pPr>
      <w:r>
        <w:t xml:space="preserve">Pour un scénario, les rentabilités moyennes sont pondérées par le coût de revient de chaque lot (et non une simple moyenne arithmétique), afin de refléter le poids réel de chaque opération.</w:t>
      </w:r>
    </w:p>
    <w:p>
      <w:r>
        <w:br w:type="page"/>
      </w:r>
    </w:p>
    <w:p>
      <w:pPr>
        <w:pStyle w:val="Heading1"/>
      </w:pPr>
      <w:r>
        <w:t xml:space="preserve">9. Plan de développement (prompts Cursor)</w:t>
      </w:r>
    </w:p>
    <w:p>
      <w:pPr>
        <w:spacing w:after="120"/>
      </w:pPr>
      <w:r>
        <w:t xml:space="preserve">Procéder par étapes successives pour ne pas surcharger l’IA. Chaque étape est un prompt autonome.</w:t>
      </w:r>
    </w:p>
    <w:p>
      <w:pPr>
        <w:pStyle w:val="ListParagraph"/>
        <w:numPr>
          <w:ilvl w:val="0"/>
          <w:numId w:val="4"/>
        </w:numPr>
        <w:spacing w:after="80"/>
      </w:pPr>
      <w:r>
        <w:t xml:space="preserve">Initialisation : projet Next.js (App Router) + TypeScript + Tailwind + shadcn/ui ; connexion Supabase via variables d’environnement.</w:t>
      </w:r>
    </w:p>
    <w:p>
      <w:pPr>
        <w:pStyle w:val="ListParagraph"/>
        <w:numPr>
          <w:ilvl w:val="0"/>
          <w:numId w:val="4"/>
        </w:numPr>
        <w:spacing w:after="80"/>
      </w:pPr>
      <w:r>
        <w:t xml:space="preserve">Authentification : Supabase Auth Google OAuth + MFA TOTP ; middleware protégeant toutes les routes ; vérification de l’e-mail contre une liste blanche ; déconnexion si non autorisé.</w:t>
      </w:r>
    </w:p>
    <w:p>
      <w:pPr>
        <w:pStyle w:val="ListParagraph"/>
        <w:numPr>
          <w:ilvl w:val="0"/>
          <w:numId w:val="4"/>
        </w:numPr>
        <w:spacing w:after="80"/>
      </w:pPr>
      <w:r>
        <w:t xml:space="preserve">Schéma BDD : génération du SQL des tables properties, lot_links, financials, simulations, scenarios, download_history avec relations et RLS.</w:t>
      </w:r>
    </w:p>
    <w:p>
      <w:pPr>
        <w:pStyle w:val="ListParagraph"/>
        <w:numPr>
          <w:ilvl w:val="0"/>
          <w:numId w:val="4"/>
        </w:numPr>
        <w:spacing w:after="80"/>
      </w:pPr>
      <w:r>
        <w:t xml:space="preserve">Import CSV : composant d’upload + PapaParse en streaming ; filtrage des colonnes utiles ; exclusion stricte des champs personnels ; pseudonymisation séquentielle avec dictionnaire ; règle de statut.</w:t>
      </w:r>
    </w:p>
    <w:p>
      <w:pPr>
        <w:pStyle w:val="ListParagraph"/>
        <w:numPr>
          <w:ilvl w:val="0"/>
          <w:numId w:val="4"/>
        </w:numPr>
        <w:spacing w:after="80"/>
      </w:pPr>
      <w:r>
        <w:t xml:space="preserve">Insertion : Server Action recevant les données nettoyées, upsert groupé dans properties + financials.</w:t>
      </w:r>
    </w:p>
    <w:p>
      <w:pPr>
        <w:pStyle w:val="ListParagraph"/>
        <w:numPr>
          <w:ilvl w:val="0"/>
          <w:numId w:val="4"/>
        </w:numPr>
        <w:spacing w:after="80"/>
      </w:pPr>
      <w:r>
        <w:t xml:space="preserve">Liens : utilitaire serveur reconstruisant lot_links depuis « N° lot secondaire » / « Désignation ».</w:t>
      </w:r>
    </w:p>
    <w:p>
      <w:pPr>
        <w:pStyle w:val="ListParagraph"/>
        <w:numPr>
          <w:ilvl w:val="0"/>
          <w:numId w:val="4"/>
        </w:numPr>
        <w:spacing w:after="80"/>
      </w:pPr>
      <w:r>
        <w:t xml:space="preserve">Tableau : TanStack Table avec cases à cocher, affichage hiérarchique des annexes, filtres, tri, pagination.</w:t>
      </w:r>
    </w:p>
    <w:p>
      <w:pPr>
        <w:pStyle w:val="ListParagraph"/>
        <w:numPr>
          <w:ilvl w:val="0"/>
          <w:numId w:val="4"/>
        </w:numPr>
        <w:spacing w:after="80"/>
      </w:pPr>
      <w:r>
        <w:t xml:space="preserve">Fiche lot : slide-over de saisie des hypothèses + formules de rentabilité brute et nette en temps réel.</w:t>
      </w:r>
    </w:p>
    <w:p>
      <w:pPr>
        <w:pStyle w:val="ListParagraph"/>
        <w:numPr>
          <w:ilvl w:val="0"/>
          <w:numId w:val="4"/>
        </w:numPr>
        <w:spacing w:after="80"/>
      </w:pPr>
      <w:r>
        <w:t xml:space="preserve">Déliation : modale de ventilation loyer/prix avec valeurs par défaut éditables, recalcul instantané.</w:t>
      </w:r>
    </w:p>
    <w:p>
      <w:pPr>
        <w:pStyle w:val="ListParagraph"/>
        <w:numPr>
          <w:ilvl w:val="0"/>
          <w:numId w:val="4"/>
        </w:numPr>
        <w:spacing w:after="80"/>
      </w:pPr>
      <w:r>
        <w:t xml:space="preserve">Panier : bandeau récapitulatif dynamique additionnant prix, loyers, surfaces, rentabilités, avec logique liée/déliée.</w:t>
      </w:r>
    </w:p>
    <w:p>
      <w:pPr>
        <w:pStyle w:val="ListParagraph"/>
        <w:numPr>
          <w:ilvl w:val="0"/>
          <w:numId w:val="4"/>
        </w:numPr>
        <w:spacing w:after="80"/>
      </w:pPr>
      <w:r>
        <w:t xml:space="preserve">Scénarios : sauvegarde / réouverture / comparaison ; modes lié et arbitrage.</w:t>
      </w:r>
    </w:p>
    <w:p>
      <w:pPr>
        <w:pStyle w:val="ListParagraph"/>
        <w:numPr>
          <w:ilvl w:val="0"/>
          <w:numId w:val="4"/>
        </w:numPr>
        <w:spacing w:after="80"/>
      </w:pPr>
      <w:r>
        <w:t xml:space="preserve">Export Excel : génération .xlsx + insertion dans download_history ; page Historique.</w:t>
      </w:r>
    </w:p>
    <w:p>
      <w:pPr>
        <w:pStyle w:val="ListParagraph"/>
        <w:numPr>
          <w:ilvl w:val="0"/>
          <w:numId w:val="4"/>
        </w:numPr>
        <w:spacing w:after="80"/>
      </w:pPr>
      <w:r>
        <w:t xml:space="preserve">Déploiement : configuration Vercel + variables d’environnement.</w:t>
      </w:r>
    </w:p>
    <w:p>
      <w:r>
        <w:br w:type="page"/>
      </w:r>
    </w:p>
    <w:p>
      <w:pPr>
        <w:pStyle w:val="Heading1"/>
      </w:pPr>
      <w:r>
        <w:t xml:space="preserve">10. Exigences non fonctionnelles</w:t>
      </w:r>
    </w:p>
    <w:p>
      <w:pPr>
        <w:pStyle w:val="ListParagraph"/>
        <w:numPr>
          <w:ilvl w:val="0"/>
          <w:numId w:val="2"/>
        </w:numPr>
        <w:spacing w:after="60"/>
      </w:pPr>
      <w:r>
        <w:rPr>
          <w:b/>
          <w:bCs/>
        </w:rPr>
        <w:t xml:space="preserve">Performance : </w:t>
      </w:r>
      <w:r>
        <w:t xml:space="preserve">tableau fluide jusqu’à plusieurs milliers de lots (pagination, virtualisation si besoin).</w:t>
      </w:r>
    </w:p>
    <w:p>
      <w:pPr>
        <w:pStyle w:val="ListParagraph"/>
        <w:numPr>
          <w:ilvl w:val="0"/>
          <w:numId w:val="2"/>
        </w:numPr>
        <w:spacing w:after="60"/>
      </w:pPr>
      <w:r>
        <w:rPr>
          <w:b/>
          <w:bCs/>
        </w:rPr>
        <w:t xml:space="preserve">Sécurité : </w:t>
      </w:r>
      <w:r>
        <w:t xml:space="preserve">RLS systématique, MFA, liste blanche, aucune donnée personnelle stockée, secrets côté serveur uniquement.</w:t>
      </w:r>
    </w:p>
    <w:p>
      <w:pPr>
        <w:pStyle w:val="ListParagraph"/>
        <w:numPr>
          <w:ilvl w:val="0"/>
          <w:numId w:val="2"/>
        </w:numPr>
        <w:spacing w:after="60"/>
      </w:pPr>
      <w:r>
        <w:rPr>
          <w:b/>
          <w:bCs/>
        </w:rPr>
        <w:t xml:space="preserve">Fiabilité des calculs : </w:t>
      </w:r>
      <w:r>
        <w:t xml:space="preserve">tests unitaires sur les formules de rentabilité et la ventilation de déliation.</w:t>
      </w:r>
    </w:p>
    <w:p>
      <w:pPr>
        <w:pStyle w:val="ListParagraph"/>
        <w:numPr>
          <w:ilvl w:val="0"/>
          <w:numId w:val="2"/>
        </w:numPr>
        <w:spacing w:after="60"/>
      </w:pPr>
      <w:r>
        <w:rPr>
          <w:b/>
          <w:bCs/>
        </w:rPr>
        <w:t xml:space="preserve">Auditabilité : </w:t>
      </w:r>
      <w:r>
        <w:t xml:space="preserve">historique des exports horodaté et nommé.</w:t>
      </w:r>
    </w:p>
    <w:p>
      <w:pPr>
        <w:pStyle w:val="ListParagraph"/>
        <w:numPr>
          <w:ilvl w:val="0"/>
          <w:numId w:val="2"/>
        </w:numPr>
        <w:spacing w:after="60"/>
      </w:pPr>
      <w:r>
        <w:rPr>
          <w:b/>
          <w:bCs/>
        </w:rPr>
        <w:t xml:space="preserve">Réversibilité : </w:t>
      </w:r>
      <w:r>
        <w:t xml:space="preserve">aucune modification de la donnée source lors des simulations ; les scénarios sont des couches au-dessus des lots.</w:t>
      </w:r>
    </w:p>
    <w:p>
      <w:pPr>
        <w:pStyle w:val="ListParagraph"/>
        <w:numPr>
          <w:ilvl w:val="0"/>
          <w:numId w:val="2"/>
        </w:numPr>
        <w:spacing w:after="60"/>
      </w:pPr>
      <w:r>
        <w:rPr>
          <w:b/>
          <w:bCs/>
        </w:rPr>
        <w:t xml:space="preserve">Accessibilité / ergonomie : </w:t>
      </w:r>
      <w:r>
        <w:t xml:space="preserve">interface claire, composants shadcn/ui, responsive.</w:t>
      </w:r>
    </w:p>
    <w:p>
      <w:pPr>
        <w:pStyle w:val="Heading1"/>
      </w:pPr>
      <w:r>
        <w:t xml:space="preserve">11. Évolutions envisagées (V2+)</w:t>
      </w:r>
    </w:p>
    <w:p>
      <w:pPr>
        <w:pStyle w:val="ListParagraph"/>
        <w:numPr>
          <w:ilvl w:val="0"/>
          <w:numId w:val="2"/>
        </w:numPr>
        <w:spacing w:after="60"/>
      </w:pPr>
      <w:r>
        <w:rPr>
          <w:b/>
          <w:bCs/>
        </w:rPr>
        <w:t xml:space="preserve">Simulation d’emprunt et cash-flow : </w:t>
      </w:r>
      <w:r>
        <w:t xml:space="preserve">intégrer apport, taux, durée, assurance pour calculer le cash-flow mensuel après financement — facteur décisif d’un achat.</w:t>
      </w:r>
    </w:p>
    <w:p>
      <w:pPr>
        <w:pStyle w:val="ListParagraph"/>
        <w:numPr>
          <w:ilvl w:val="0"/>
          <w:numId w:val="2"/>
        </w:numPr>
        <w:spacing w:after="60"/>
      </w:pPr>
      <w:r>
        <w:rPr>
          <w:b/>
          <w:bCs/>
        </w:rPr>
        <w:t xml:space="preserve">Rentabilité après impôts : </w:t>
      </w:r>
      <w:r>
        <w:t xml:space="preserve">intégration des régimes fiscaux (LMNP, micro-foncier, réel) selon la stratégie patrimoniale.</w:t>
      </w:r>
    </w:p>
    <w:p>
      <w:pPr>
        <w:pStyle w:val="ListParagraph"/>
        <w:numPr>
          <w:ilvl w:val="0"/>
          <w:numId w:val="2"/>
        </w:numPr>
        <w:spacing w:after="60"/>
      </w:pPr>
      <w:r>
        <w:rPr>
          <w:b/>
          <w:bCs/>
        </w:rPr>
        <w:t xml:space="preserve">Comparateur de scénarios : </w:t>
      </w:r>
      <w:r>
        <w:t xml:space="preserve">vue côte à côte de plusieurs scénarios sauvegardés.</w:t>
      </w:r>
    </w:p>
    <w:p>
      <w:pPr>
        <w:pStyle w:val="ListParagraph"/>
        <w:numPr>
          <w:ilvl w:val="0"/>
          <w:numId w:val="2"/>
        </w:numPr>
        <w:spacing w:after="60"/>
      </w:pPr>
      <w:r>
        <w:rPr>
          <w:b/>
          <w:bCs/>
        </w:rPr>
        <w:t xml:space="preserve">Indexation des loyers : </w:t>
      </w:r>
      <w:r>
        <w:t xml:space="preserve">projection de revalorisation via IRL / ICC à partir de l’ancienneté du bail.</w:t>
      </w:r>
    </w:p>
    <w:p>
      <w:pPr>
        <w:pStyle w:val="ListParagraph"/>
        <w:numPr>
          <w:ilvl w:val="0"/>
          <w:numId w:val="2"/>
        </w:numPr>
        <w:spacing w:after="60"/>
      </w:pPr>
      <w:r>
        <w:rPr>
          <w:b/>
          <w:bCs/>
        </w:rPr>
        <w:t xml:space="preserve">Cartographie : </w:t>
      </w:r>
      <w:r>
        <w:t xml:space="preserve">visualisation géographique des lots par immeuble.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Cahier des charges — Plateforme d’analyse d’acquisition immobilière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2026-05-28T14:51:08.108Z</dcterms:created>
  <dcterms:modified xsi:type="dcterms:W3CDTF">2026-05-28T14:51:08.123Z</dcterms:modified>
</cp:coreProperties>
</file>

<file path=docProps/custom.xml><?xml version="1.0" encoding="utf-8"?>
<Properties xmlns="http://schemas.openxmlformats.org/officeDocument/2006/custom-properties" xmlns:vt="http://schemas.openxmlformats.org/officeDocument/2006/docPropsVTypes"/>
</file>