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Arial" w:cs="Arial" w:eastAsia="Arial" w:hAnsi="Arial"/>
          <w:b/>
          <w:bCs/>
          <w:color w:val="0D5C63"/>
          <w:spacing w:val="30"/>
          <w:sz w:val="15"/>
          <w:szCs w:val="15"/>
        </w:rPr>
        <w:t xml:space="preserve">PROCÉDURE INTERNE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7232A"/>
          <w:sz w:val="36"/>
          <w:szCs w:val="36"/>
        </w:rPr>
        <w:t xml:space="preserve">Traitement des mails du poste d’accueil</w:t>
      </w:r>
    </w:p>
    <w:p>
      <w:pPr>
        <w:spacing w:after="90" w:line="240"/>
      </w:pPr>
      <w:r>
        <w:rPr>
          <w:rFonts w:ascii="Cambria" w:cs="Cambria" w:eastAsia="Cambria" w:hAnsi="Cambria"/>
          <w:i/>
          <w:iCs/>
          <w:color w:val="5B6C72"/>
          <w:sz w:val="19"/>
          <w:szCs w:val="19"/>
        </w:rPr>
        <w:t xml:space="preserve">Consulter, trier, réorienter et répondre aux mails reçus sur les boîtes du poste d'accueil et des services généraux.</w:t>
      </w:r>
    </w:p>
    <w:p>
      <w:pPr>
        <w:pBdr>
          <w:bottom w:val="single" w:color="0D5C63" w:sz="14" w:space="7"/>
        </w:pBdr>
        <w:spacing w:after="40"/>
      </w:pP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Version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1.0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Site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siège social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Diffusion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accueil et services généraux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Les deux boîtes et le rythme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Deux boîtes mail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sont à consulter : </w:t>
      </w:r>
      <w:r>
        <w:rPr>
          <w:rFonts w:ascii="Arial" w:cs="Arial" w:eastAsia="Arial" w:hAnsi="Arial"/>
          <w:i/>
          <w:iCs/>
          <w:color w:val="6B4B12"/>
          <w:sz w:val="17"/>
          <w:szCs w:val="17"/>
          <w:highlight w:val="yellow"/>
          <w:highlightCs w:val="yellow"/>
        </w:rPr>
        <w:t xml:space="preserve">boîtes à préciser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À la prise de poste, ouvrir Teams, Outlook et Tracker, puis dépouiller les mails et les traiter rapidement.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Avant de quitter le poste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tous les mails reçus dans la journée doivent être traités ou avoir reçu une réponse.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2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Trier à la lecture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Chaque mail entre dans l'une de ces quatre familles, qui appellent chacune un geste différent :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2959"/>
        <w:gridCol w:w="6905"/>
      </w:tblGrid>
      <w:tr>
        <w:trPr>
          <w:tblHeader/>
        </w:trPr>
        <w:tc>
          <w:tcPr>
            <w:tcW w:type="dxa" w:w="2959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Type de mail</w:t>
            </w:r>
          </w:p>
        </w:tc>
        <w:tc>
          <w:tcPr>
            <w:tcW w:type="dxa" w:w="6905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Ce que vous en faites</w:t>
            </w:r>
          </w:p>
        </w:tc>
      </w:tr>
      <w:tr>
        <w:tc>
          <w:tcPr>
            <w:tcW w:type="dxa" w:w="2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Demande d’intervention</w:t>
            </w:r>
          </w:p>
        </w:tc>
        <w:tc>
          <w:tcPr>
            <w:tcW w:type="dxa" w:w="6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La saisir dans Tracker et sur le fichier Excel de suivi. Le dispatch revient au responsable des services généraux ; certaines demandes — badges, préparation de salle, déplacement d'un meuble — sont à votre charge.</w:t>
            </w:r>
          </w:p>
        </w:tc>
      </w:tr>
      <w:tr>
        <w:tc>
          <w:tcPr>
            <w:tcW w:type="dxa" w:w="2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Externe cherchant à joindre un collaborateur</w:t>
            </w:r>
          </w:p>
        </w:tc>
        <w:tc>
          <w:tcPr>
            <w:tcW w:type="dxa" w:w="6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Prendre le message et l'envoyer au collaborateur avec le modèle « Prise de message ».</w:t>
            </w:r>
          </w:p>
        </w:tc>
      </w:tr>
      <w:tr>
        <w:tc>
          <w:tcPr>
            <w:tcW w:type="dxa" w:w="2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Demande exceptionnelle</w:t>
            </w:r>
          </w:p>
        </w:tc>
        <w:tc>
          <w:tcPr>
            <w:tcW w:type="dxa" w:w="6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Montage de mobilier, aménagement ponctuel : en accord avec le responsable des services généraux avant d'engager quoi que ce soit.</w:t>
            </w:r>
          </w:p>
        </w:tc>
      </w:tr>
      <w:tr>
        <w:tc>
          <w:tcPr>
            <w:tcW w:type="dxa" w:w="2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Information</w:t>
            </w:r>
          </w:p>
        </w:tc>
        <w:tc>
          <w:tcPr>
            <w:tcW w:type="dxa" w:w="6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Réunion, note de service : en prendre connaissance, pas de réponse nécessaire.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3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Vers qui réorienter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Un mail qui ne relève pas des services généraux n'est pas traité au poste : il est transféré au service concerné, et l'expéditeur en est informé.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3156"/>
        <w:gridCol w:w="6708"/>
      </w:tblGrid>
      <w:tr>
        <w:trPr>
          <w:tblHeader/>
        </w:trPr>
        <w:tc>
          <w:tcPr>
            <w:tcW w:type="dxa" w:w="3156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Objet du mail</w:t>
            </w:r>
          </w:p>
        </w:tc>
        <w:tc>
          <w:tcPr>
            <w:tcW w:type="dxa" w:w="6708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Destinataire</w:t>
            </w:r>
          </w:p>
        </w:tc>
      </w:tr>
      <w:tr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Flotte automobile, contraventions</w:t>
            </w:r>
          </w:p>
        </w:tc>
        <w:tc>
          <w:tcPr>
            <w:tcW w:type="dxa" w:w="6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auddika@oovoom.fr — 01 80 82 44 43 (voir la procédure contraventions)</w:t>
            </w:r>
          </w:p>
        </w:tc>
      </w:tr>
      <w:tr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Factures fournisseurs</w:t>
            </w:r>
          </w:p>
        </w:tc>
        <w:tc>
          <w:tcPr>
            <w:tcW w:type="dxa" w:w="6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facture@audika.com</w:t>
            </w:r>
          </w:p>
        </w:tc>
      </w:tr>
      <w:tr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Loyers</w:t>
            </w:r>
          </w:p>
        </w:tc>
        <w:tc>
          <w:tcPr>
            <w:tcW w:type="dxa" w:w="6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loyers@audika.com</w:t>
            </w:r>
          </w:p>
        </w:tc>
      </w:tr>
      <w:tr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Comptabilité générale</w:t>
            </w:r>
          </w:p>
        </w:tc>
        <w:tc>
          <w:tcPr>
            <w:tcW w:type="dxa" w:w="6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compta@audika.com</w:t>
            </w:r>
          </w:p>
        </w:tc>
      </w:tr>
      <w:tr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Services généraux</w:t>
            </w:r>
          </w:p>
        </w:tc>
        <w:tc>
          <w:tcPr>
            <w:tcW w:type="dxa" w:w="6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sgx@audika.com</w:t>
            </w:r>
          </w:p>
        </w:tc>
      </w:tr>
      <w:tr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Informatique</w:t>
            </w:r>
          </w:p>
        </w:tc>
        <w:tc>
          <w:tcPr>
            <w:tcW w:type="dxa" w:w="6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info@audika.com</w:t>
            </w:r>
          </w:p>
        </w:tc>
      </w:tr>
      <w:tr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Ressources humaines</w:t>
            </w:r>
          </w:p>
        </w:tc>
        <w:tc>
          <w:tcPr>
            <w:tcW w:type="dxa" w:w="6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Solde de tout compte : prendre le message et l'envoyer à la personne RH. Recrutement : recrutement.siege@audika.com</w:t>
            </w:r>
          </w:p>
        </w:tc>
      </w:tr>
      <w:tr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Qualité</w:t>
            </w:r>
          </w:p>
        </w:tc>
        <w:tc>
          <w:tcPr>
            <w:tcW w:type="dxa" w:w="6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flaroche@audika.com — 0 800 210 470</w:t>
            </w:r>
          </w:p>
        </w:tc>
      </w:tr>
      <w:tr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Boutique en ligne</w:t>
            </w:r>
          </w:p>
        </w:tc>
        <w:tc>
          <w:tcPr>
            <w:tcW w:type="dxa" w:w="6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boutique@audika.fr — 01 55 70 26 27</w:t>
            </w:r>
          </w:p>
        </w:tc>
      </w:tr>
      <w:tr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Ménage et propreté des locaux</w:t>
            </w:r>
          </w:p>
        </w:tc>
        <w:tc>
          <w:tcPr>
            <w:tcW w:type="dxa" w:w="6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i/>
                <w:iCs/>
                <w:color w:val="6B4B12"/>
                <w:sz w:val="16"/>
                <w:szCs w:val="16"/>
                <w:highlight w:val="yellow"/>
                <w:highlightCs w:val="yellow"/>
              </w:rPr>
              <w:t xml:space="preserve">prestataire et adresse à compléter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4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Réponses types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Trois modèles sont disponibles en signature dans la boîte mail. Les utiliser plutôt que de rédiger au cas par cas :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Votre badge est prêt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— informe le collaborateur que son badge peut être récupéré auprès des services généraux.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Prise de message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— signale qu'une personne extérieure a cherché à le joindre, avec le sujet et les coordonnées de l'appelant.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Rappel : pli en attente à récupérer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— relance un collaborateur dont le pli attend au service généraux.</w:t>
      </w:r>
    </w:p>
    <w:p>
      <w:pPr>
        <w:spacing w:after="70"/>
      </w:pPr>
    </w:p>
    <w:tbl>
      <w:tblPr>
        <w:tblW w:type="dxa" w:w="9864"/>
        <w:tblBorders>
          <w:top w:val="none"/>
          <w:left w:val="single" w:color="8A5A12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7EED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8A5A12"/>
                <w:spacing w:val="25"/>
                <w:sz w:val="13"/>
                <w:szCs w:val="13"/>
              </w:rPr>
              <w:t xml:space="preserve">AVANT D’ENVOYER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Relire : pas de faute, formulation professionnelle, objet explicite. Les messages envoyés depuis ce poste engagent l'image de l'accueil.</w:t>
            </w:r>
          </w:p>
        </w:tc>
      </w:tr>
    </w:tbl>
    <w:sectPr>
      <w:footerReference w:type="default" r:id="rId7"/>
      <w:pgSz w:w="11906" w:h="16838" w:orient="portrait"/>
      <w:pgMar w:top="880" w:right="1021" w:bottom="78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BDB" w:sz="4" w:space="6"/>
      </w:pBdr>
      <w:jc w:val="right"/>
    </w:pPr>
    <w:r>
      <w:rPr>
        <w:rFonts w:ascii="Arial" w:cs="Arial" w:eastAsia="Arial" w:hAnsi="Arial"/>
        <w:color w:val="5B6C72"/>
        <w:sz w:val="13"/>
        <w:szCs w:val="13"/>
      </w:rPr>
      <w:t xml:space="preserve">Document interne          </w:t>
    </w:r>
    <w:r>
      <w:rPr>
        <w:rFonts w:ascii="Arial" w:cs="Arial" w:eastAsia="Arial" w:hAnsi="Arial"/>
        <w:color w:val="5B6C72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723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Traitement des mails du poste d’accueil</dc:title>
  <dc:creator>Services Généraux Audika</dc:creator>
  <dc:description>Procédure interne</dc:description>
  <cp:lastModifiedBy>Un-named</cp:lastModifiedBy>
  <cp:revision>1</cp:revision>
  <dcterms:created xsi:type="dcterms:W3CDTF">2026-08-26T14:17:51.788Z</dcterms:created>
  <dcterms:modified xsi:type="dcterms:W3CDTF">2026-08-26T14:17:51.788Z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