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</w:pPr>
      <w:r>
        <w:rPr>
          <w:rFonts w:ascii="Arial" w:cs="Arial" w:eastAsia="Arial" w:hAnsi="Arial"/>
          <w:b/>
          <w:bCs/>
          <w:color w:val="0D5C63"/>
          <w:spacing w:val="30"/>
          <w:sz w:val="15"/>
          <w:szCs w:val="15"/>
        </w:rPr>
        <w:t xml:space="preserve">PROCÉDURE INTERNE</w:t>
      </w:r>
    </w:p>
    <w:p>
      <w:pPr>
        <w:keepNext/>
        <w:spacing w:after="70"/>
      </w:pPr>
      <w:r>
        <w:rPr>
          <w:rFonts w:ascii="Arial" w:cs="Arial" w:eastAsia="Arial" w:hAnsi="Arial"/>
          <w:b/>
          <w:bCs/>
          <w:color w:val="17232A"/>
          <w:sz w:val="36"/>
          <w:szCs w:val="36"/>
        </w:rPr>
        <w:t xml:space="preserve">Machine à café et consommables</w:t>
      </w:r>
    </w:p>
    <w:p>
      <w:pPr>
        <w:spacing w:after="90" w:line="240"/>
      </w:pPr>
      <w:r>
        <w:rPr>
          <w:rFonts w:ascii="Cambria" w:cs="Cambria" w:eastAsia="Cambria" w:hAnsi="Cambria"/>
          <w:i/>
          <w:iCs/>
          <w:color w:val="5B6C72"/>
          <w:sz w:val="19"/>
          <w:szCs w:val="19"/>
        </w:rPr>
        <w:t xml:space="preserve">Approvisionner les machines à café, suivre les consommables de la tisanerie et faire intervenir le prestataire en cas de panne.</w:t>
      </w:r>
    </w:p>
    <w:p>
      <w:pPr>
        <w:pBdr>
          <w:bottom w:val="single" w:color="0D5C63" w:sz="14" w:space="7"/>
        </w:pBdr>
        <w:spacing w:after="40"/>
      </w:pPr>
      <w:r>
        <w:rPr>
          <w:rFonts w:ascii="Arial" w:cs="Arial" w:eastAsia="Arial" w:hAnsi="Arial"/>
          <w:b/>
          <w:bCs/>
          <w:color w:val="17232A"/>
          <w:sz w:val="15"/>
          <w:szCs w:val="15"/>
        </w:rPr>
        <w:t xml:space="preserve">Version </w:t>
      </w:r>
      <w:r>
        <w:rPr>
          <w:rFonts w:ascii="Arial" w:cs="Arial" w:eastAsia="Arial" w:hAnsi="Arial"/>
          <w:color w:val="5B6C72"/>
          <w:sz w:val="15"/>
          <w:szCs w:val="15"/>
        </w:rPr>
        <w:t xml:space="preserve">1.0</w:t>
      </w:r>
      <w:r>
        <w:rPr>
          <w:rFonts w:ascii="Arial" w:cs="Arial" w:eastAsia="Arial" w:hAnsi="Arial"/>
          <w:b/>
          <w:bCs/>
          <w:color w:val="17232A"/>
          <w:sz w:val="15"/>
          <w:szCs w:val="15"/>
        </w:rPr>
        <w:t xml:space="preserve">     Site </w:t>
      </w:r>
      <w:r>
        <w:rPr>
          <w:rFonts w:ascii="Arial" w:cs="Arial" w:eastAsia="Arial" w:hAnsi="Arial"/>
          <w:color w:val="5B6C72"/>
          <w:sz w:val="15"/>
          <w:szCs w:val="15"/>
        </w:rPr>
        <w:t xml:space="preserve">siège social</w:t>
      </w:r>
      <w:r>
        <w:rPr>
          <w:rFonts w:ascii="Arial" w:cs="Arial" w:eastAsia="Arial" w:hAnsi="Arial"/>
          <w:b/>
          <w:bCs/>
          <w:color w:val="17232A"/>
          <w:sz w:val="15"/>
          <w:szCs w:val="15"/>
        </w:rPr>
        <w:t xml:space="preserve">     Diffusion </w:t>
      </w:r>
      <w:r>
        <w:rPr>
          <w:rFonts w:ascii="Arial" w:cs="Arial" w:eastAsia="Arial" w:hAnsi="Arial"/>
          <w:color w:val="5B6C72"/>
          <w:sz w:val="15"/>
          <w:szCs w:val="15"/>
        </w:rPr>
        <w:t xml:space="preserve">accueil et services généraux</w:t>
      </w:r>
    </w:p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1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Consommables à suivre</w:t>
      </w:r>
    </w:p>
    <w:p>
      <w:pPr>
        <w:spacing w:after="5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Les consommables de la tisanerie font partie des fournitures gérées par le poste :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café, thé, sucre, touillettes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Vérifier le stock </w:t>
      </w:r>
      <w:r>
        <w:rPr>
          <w:rFonts w:ascii="Arial" w:cs="Arial" w:eastAsia="Arial" w:hAnsi="Arial"/>
          <w:i/>
          <w:iCs/>
          <w:color w:val="6B4B12"/>
          <w:sz w:val="17"/>
          <w:szCs w:val="17"/>
          <w:highlight w:val="yellow"/>
          <w:highlightCs w:val="yellow"/>
        </w:rPr>
        <w:t xml:space="preserve">fréquence à définir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et réapprovisionner avant rupture.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La tisanerie doit être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propre et rangée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avant le départ, comme le poste de travail.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Les fournitures de bureau et les consommables se commandent chez Lyreco : voir la procédure de commande.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Fournisseur des consommables café : </w:t>
      </w:r>
      <w:r>
        <w:rPr>
          <w:rFonts w:ascii="Arial" w:cs="Arial" w:eastAsia="Arial" w:hAnsi="Arial"/>
          <w:i/>
          <w:iCs/>
          <w:color w:val="6B4B12"/>
          <w:sz w:val="17"/>
          <w:szCs w:val="17"/>
          <w:highlight w:val="yellow"/>
          <w:highlightCs w:val="yellow"/>
        </w:rPr>
        <w:t xml:space="preserve">à compléter si différent de Lyreco</w:t>
      </w:r>
    </w:p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2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Panne ou entretien de la machine</w:t>
      </w:r>
    </w:p>
    <w:p>
      <w:pPr>
        <w:spacing w:after="5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L'entretien des machines à café est assuré par le prestataire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SOVEDIS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.</w:t>
      </w:r>
    </w:p>
    <w:tbl>
      <w:tblPr>
        <w:tblW w:type="dxa" w:w="9864"/>
        <w:tblBorders>
          <w:top w:val="single" w:color="D3DBDB" w:sz="4"/>
          <w:left w:val="single" w:color="D3DBDB" w:sz="4"/>
          <w:bottom w:val="single" w:color="D3DBDB" w:sz="4"/>
          <w:right w:val="single" w:color="D3DBDB" w:sz="4"/>
          <w:insideH w:val="single" w:color="D3DBDB" w:sz="4"/>
          <w:insideV w:val="single" w:color="D3DBDB" w:sz="4"/>
        </w:tblBorders>
      </w:tblPr>
      <w:tblGrid>
        <w:gridCol w:w="5425"/>
        <w:gridCol w:w="4439"/>
      </w:tblGrid>
      <w:tr>
        <w:tc>
          <w:tcPr>
            <w:tcW w:type="dxa" w:w="54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/>
                <w:bCs/>
                <w:color w:val="0D5C63"/>
                <w:sz w:val="17"/>
                <w:szCs w:val="17"/>
              </w:rPr>
              <w:t xml:space="preserve">SOVEDIS — entretien des machines à café</w:t>
            </w:r>
          </w:p>
        </w:tc>
        <w:tc>
          <w:tcPr>
            <w:tcW w:type="dxa" w:w="44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06 52 97 88 52</w:t>
            </w:r>
          </w:p>
        </w:tc>
      </w:tr>
    </w:tbl>
    <w:p>
      <w:pPr>
        <w:spacing w:after="70"/>
      </w:pP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Signaler la panne à SOVEDIS en précisant l'étage, la machine concernée et le symptôme.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Prévenir le responsable des services généraux.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Signaler l'indisponibilité aux collaborateurs si l'immobilisation dure.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Noter l'intervention : </w:t>
      </w:r>
      <w:r>
        <w:rPr>
          <w:rFonts w:ascii="Arial" w:cs="Arial" w:eastAsia="Arial" w:hAnsi="Arial"/>
          <w:i/>
          <w:iCs/>
          <w:color w:val="6B4B12"/>
          <w:sz w:val="17"/>
          <w:szCs w:val="17"/>
          <w:highlight w:val="yellow"/>
          <w:highlightCs w:val="yellow"/>
        </w:rPr>
        <w:t xml:space="preserve">support de suivi à préciser — Tracker, fichier Excel ?</w:t>
      </w:r>
    </w:p>
    <w:p>
      <w:pPr>
        <w:spacing w:after="70"/>
      </w:pPr>
    </w:p>
    <w:tbl>
      <w:tblPr>
        <w:tblW w:type="dxa" w:w="9864"/>
        <w:tblBorders>
          <w:top w:val="none"/>
          <w:left w:val="single" w:color="0D5C63" w:sz="18"/>
          <w:bottom w:val="none"/>
          <w:right w:val="none"/>
          <w:insideH w:val="none"/>
          <w:insideV w:val="none"/>
        </w:tblBorders>
      </w:tblPr>
      <w:tblGrid>
        <w:gridCol w:w="9864"/>
      </w:tblGrid>
      <w:tr>
        <w:tc>
          <w:tcPr>
            <w:tcW w:type="dxa" w:w="9864"/>
            <w:shd w:fill="E6F0F0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45"/>
            </w:pPr>
            <w:r>
              <w:rPr>
                <w:rFonts w:ascii="Arial" w:cs="Arial" w:eastAsia="Arial" w:hAnsi="Arial"/>
                <w:b/>
                <w:bCs/>
                <w:color w:val="0D5C63"/>
                <w:spacing w:val="25"/>
                <w:sz w:val="13"/>
                <w:szCs w:val="13"/>
              </w:rPr>
              <w:t xml:space="preserve">SECTION À CONSOLIDER</w:t>
            </w:r>
          </w:p>
          <w:p>
            <w:pPr>
              <w:spacing w:after="0" w:line="235"/>
            </w:pP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Le cahier de consignes ne mentionne la machine à café que par le contact SOVEDIS et la liste des consommables. Les fréquences de contrôle, le fournisseur du café et le suivi des interventions restent à décrire par les services généraux.</w:t>
            </w:r>
          </w:p>
        </w:tc>
      </w:tr>
    </w:tbl>
    <w:sectPr>
      <w:footerReference w:type="default" r:id="rId7"/>
      <w:pgSz w:w="11906" w:h="16838" w:orient="portrait"/>
      <w:pgMar w:top="880" w:right="1021" w:bottom="780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3DBDB" w:sz="4" w:space="6"/>
      </w:pBdr>
      <w:jc w:val="right"/>
    </w:pPr>
    <w:r>
      <w:rPr>
        <w:rFonts w:ascii="Arial" w:cs="Arial" w:eastAsia="Arial" w:hAnsi="Arial"/>
        <w:color w:val="5B6C72"/>
        <w:sz w:val="13"/>
        <w:szCs w:val="13"/>
      </w:rPr>
      <w:t xml:space="preserve">Document interne          </w:t>
    </w:r>
    <w:r>
      <w:rPr>
        <w:rFonts w:ascii="Arial" w:cs="Arial" w:eastAsia="Arial" w:hAnsi="Arial"/>
        <w:color w:val="5B6C72"/>
        <w:sz w:val="13"/>
        <w:szCs w:val="13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color w:val="17232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Machine à café et consommables</dc:title>
  <dc:creator>Services Généraux Audika</dc:creator>
  <dc:description>Procédure interne</dc:description>
  <cp:lastModifiedBy>Un-named</cp:lastModifiedBy>
  <cp:revision>1</cp:revision>
  <dcterms:created xsi:type="dcterms:W3CDTF">2026-08-26T14:17:51.803Z</dcterms:created>
  <dcterms:modified xsi:type="dcterms:W3CDTF">2026-08-26T14:17:51.803Z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