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rFonts w:ascii="Arial" w:cs="Arial" w:eastAsia="Arial" w:hAnsi="Arial"/>
          <w:b/>
          <w:bCs/>
          <w:color w:val="0D5C63"/>
          <w:spacing w:val="30"/>
          <w:sz w:val="15"/>
          <w:szCs w:val="15"/>
        </w:rPr>
        <w:t xml:space="preserve">PROCÉDURE INTERNE</w:t>
      </w:r>
    </w:p>
    <w:p>
      <w:pPr>
        <w:keepNext/>
        <w:spacing w:after="70"/>
      </w:pPr>
      <w:r>
        <w:rPr>
          <w:rFonts w:ascii="Arial" w:cs="Arial" w:eastAsia="Arial" w:hAnsi="Arial"/>
          <w:b/>
          <w:bCs/>
          <w:color w:val="17232A"/>
          <w:sz w:val="36"/>
          <w:szCs w:val="36"/>
        </w:rPr>
        <w:t xml:space="preserve">Gestion du courrier, des plis et des colis</w:t>
      </w:r>
    </w:p>
    <w:p>
      <w:pPr>
        <w:spacing w:after="90" w:line="240"/>
      </w:pPr>
      <w:r>
        <w:rPr>
          <w:rFonts w:ascii="Cambria" w:cs="Cambria" w:eastAsia="Cambria" w:hAnsi="Cambria"/>
          <w:i/>
          <w:iCs/>
          <w:color w:val="5B6C72"/>
          <w:sz w:val="19"/>
          <w:szCs w:val="19"/>
        </w:rPr>
        <w:t xml:space="preserve">Réception, tri, distribution et expédition du courrier et des colis au siège social, poste d'accueil des services généraux.</w:t>
      </w:r>
    </w:p>
    <w:p>
      <w:pPr>
        <w:pBdr>
          <w:bottom w:val="single" w:color="0D5C63" w:sz="14" w:space="7"/>
        </w:pBdr>
        <w:spacing w:after="40"/>
      </w:pPr>
      <w:r>
        <w:rPr>
          <w:rFonts w:ascii="Arial" w:cs="Arial" w:eastAsia="Arial" w:hAnsi="Arial"/>
          <w:b/>
          <w:bCs/>
          <w:color w:val="17232A"/>
          <w:sz w:val="15"/>
          <w:szCs w:val="15"/>
        </w:rPr>
        <w:t xml:space="preserve">Version </w:t>
      </w:r>
      <w:r>
        <w:rPr>
          <w:rFonts w:ascii="Arial" w:cs="Arial" w:eastAsia="Arial" w:hAnsi="Arial"/>
          <w:color w:val="5B6C72"/>
          <w:sz w:val="15"/>
          <w:szCs w:val="15"/>
        </w:rPr>
        <w:t xml:space="preserve">1.0</w:t>
      </w:r>
      <w:r>
        <w:rPr>
          <w:rFonts w:ascii="Arial" w:cs="Arial" w:eastAsia="Arial" w:hAnsi="Arial"/>
          <w:b/>
          <w:bCs/>
          <w:color w:val="17232A"/>
          <w:sz w:val="15"/>
          <w:szCs w:val="15"/>
        </w:rPr>
        <w:t xml:space="preserve">     Site </w:t>
      </w:r>
      <w:r>
        <w:rPr>
          <w:rFonts w:ascii="Arial" w:cs="Arial" w:eastAsia="Arial" w:hAnsi="Arial"/>
          <w:color w:val="5B6C72"/>
          <w:sz w:val="15"/>
          <w:szCs w:val="15"/>
        </w:rPr>
        <w:t xml:space="preserve">siège social</w:t>
      </w:r>
      <w:r>
        <w:rPr>
          <w:rFonts w:ascii="Arial" w:cs="Arial" w:eastAsia="Arial" w:hAnsi="Arial"/>
          <w:b/>
          <w:bCs/>
          <w:color w:val="17232A"/>
          <w:sz w:val="15"/>
          <w:szCs w:val="15"/>
        </w:rPr>
        <w:t xml:space="preserve">     Diffusion </w:t>
      </w:r>
      <w:r>
        <w:rPr>
          <w:rFonts w:ascii="Arial" w:cs="Arial" w:eastAsia="Arial" w:hAnsi="Arial"/>
          <w:color w:val="5B6C72"/>
          <w:sz w:val="15"/>
          <w:szCs w:val="15"/>
        </w:rPr>
        <w:t xml:space="preserve">accueil et services généraux</w:t>
      </w:r>
    </w:p>
    <w:p>
      <w:pPr>
        <w:keepNext/>
        <w:pBdr>
          <w:top w:val="single" w:color="D3DBDB" w:sz="4" w:space="8"/>
        </w:pBdr>
        <w:spacing w:after="62" w:before="140"/>
      </w:pPr>
      <w:r>
        <w:rPr>
          <w:rFonts w:ascii="Arial" w:cs="Arial" w:eastAsia="Arial" w:hAnsi="Arial"/>
          <w:b/>
          <w:bCs/>
          <w:color w:val="0D5C63"/>
          <w:sz w:val="22"/>
          <w:szCs w:val="22"/>
        </w:rPr>
        <w:t xml:space="preserve">1   </w:t>
      </w:r>
      <w:r>
        <w:rPr>
          <w:rFonts w:ascii="Arial" w:cs="Arial" w:eastAsia="Arial" w:hAnsi="Arial"/>
          <w:b/>
          <w:bCs/>
          <w:color w:val="17232A"/>
          <w:sz w:val="22"/>
          <w:szCs w:val="22"/>
        </w:rPr>
        <w:t xml:space="preserve">Rythme de la journée</w:t>
      </w:r>
    </w:p>
    <w:tbl>
      <w:tblPr>
        <w:tblW w:type="dxa" w:w="9864"/>
        <w:tblBorders>
          <w:top w:val="single" w:color="D3DBDB" w:sz="4"/>
          <w:left w:val="single" w:color="D3DBDB" w:sz="4"/>
          <w:bottom w:val="single" w:color="D3DBDB" w:sz="4"/>
          <w:right w:val="single" w:color="D3DBDB" w:sz="4"/>
          <w:insideH w:val="single" w:color="D3DBDB" w:sz="4"/>
          <w:insideV w:val="single" w:color="D3DBDB" w:sz="4"/>
        </w:tblBorders>
      </w:tblPr>
      <w:tblGrid>
        <w:gridCol w:w="2367"/>
        <w:gridCol w:w="7497"/>
      </w:tblGrid>
      <w:tr>
        <w:trPr>
          <w:tblHeader/>
        </w:trPr>
        <w:tc>
          <w:tcPr>
            <w:tcW w:type="dxa" w:w="2367"/>
            <w:shd w:fill="EEF2F1" w:color="auto" w:val="clear"/>
            <w:tcMar>
              <w:top w:type="dxa" w:w="60"/>
              <w:left w:type="dxa" w:w="100"/>
              <w:bottom w:type="dxa" w:w="60"/>
              <w:right w:type="dxa" w:w="100"/>
            </w:tcMar>
          </w:tcPr>
          <w:p>
            <w:pPr>
              <w:spacing w:after="0"/>
            </w:pPr>
            <w:r>
              <w:rPr>
                <w:rFonts w:ascii="Arial" w:cs="Arial" w:eastAsia="Arial" w:hAnsi="Arial"/>
                <w:b/>
                <w:bCs/>
                <w:caps/>
                <w:color w:val="5B6C72"/>
                <w:spacing w:val="20"/>
                <w:sz w:val="13"/>
                <w:szCs w:val="13"/>
              </w:rPr>
              <w:t xml:space="preserve">Horaire</w:t>
            </w:r>
          </w:p>
        </w:tc>
        <w:tc>
          <w:tcPr>
            <w:tcW w:type="dxa" w:w="7497"/>
            <w:shd w:fill="EEF2F1" w:color="auto" w:val="clear"/>
            <w:tcMar>
              <w:top w:type="dxa" w:w="60"/>
              <w:left w:type="dxa" w:w="100"/>
              <w:bottom w:type="dxa" w:w="60"/>
              <w:right w:type="dxa" w:w="100"/>
            </w:tcMar>
          </w:tcPr>
          <w:p>
            <w:pPr>
              <w:spacing w:after="0"/>
            </w:pPr>
            <w:r>
              <w:rPr>
                <w:rFonts w:ascii="Arial" w:cs="Arial" w:eastAsia="Arial" w:hAnsi="Arial"/>
                <w:b/>
                <w:bCs/>
                <w:caps/>
                <w:color w:val="5B6C72"/>
                <w:spacing w:val="20"/>
                <w:sz w:val="13"/>
                <w:szCs w:val="13"/>
              </w:rPr>
              <w:t xml:space="preserve">Ce qui est attendu</w:t>
            </w:r>
          </w:p>
        </w:tc>
      </w:tr>
      <w:tr>
        <w:tc>
          <w:tcPr>
            <w:tcW w:type="dxa" w:w="2367"/>
            <w:tcMar>
              <w:top w:type="dxa" w:w="60"/>
              <w:left w:type="dxa" w:w="100"/>
              <w:bottom w:type="dxa" w:w="60"/>
              <w:right w:type="dxa" w:w="100"/>
            </w:tcMar>
          </w:tcPr>
          <w:p>
            <w:pPr>
              <w:spacing w:after="0" w:line="235"/>
            </w:pPr>
            <w:r>
              <w:rPr>
                <w:rFonts w:ascii="Cambria" w:cs="Cambria" w:eastAsia="Cambria" w:hAnsi="Cambria"/>
                <w:b w:val="false"/>
                <w:bCs w:val="false"/>
                <w:color w:val="17232A"/>
                <w:sz w:val="17"/>
                <w:szCs w:val="17"/>
              </w:rPr>
              <w:t xml:space="preserve">9h00 – 9h30</w:t>
            </w:r>
          </w:p>
        </w:tc>
        <w:tc>
          <w:tcPr>
            <w:tcW w:type="dxa" w:w="7497"/>
            <w:tcMar>
              <w:top w:type="dxa" w:w="60"/>
              <w:left w:type="dxa" w:w="100"/>
              <w:bottom w:type="dxa" w:w="60"/>
              <w:right w:type="dxa" w:w="100"/>
            </w:tcMar>
          </w:tcPr>
          <w:p>
            <w:pPr>
              <w:spacing w:after="0" w:line="235"/>
            </w:pPr>
            <w:r>
              <w:rPr>
                <w:rFonts w:ascii="Cambria" w:cs="Cambria" w:eastAsia="Cambria" w:hAnsi="Cambria"/>
                <w:b w:val="false"/>
                <w:bCs w:val="false"/>
                <w:color w:val="17232A"/>
                <w:sz w:val="17"/>
                <w:szCs w:val="17"/>
              </w:rPr>
              <w:t xml:space="preserve">Récupérer le courrier à l'accueil principal</w:t>
            </w:r>
          </w:p>
        </w:tc>
      </w:tr>
      <w:tr>
        <w:tc>
          <w:tcPr>
            <w:tcW w:type="dxa" w:w="2367"/>
            <w:tcMar>
              <w:top w:type="dxa" w:w="60"/>
              <w:left w:type="dxa" w:w="100"/>
              <w:bottom w:type="dxa" w:w="60"/>
              <w:right w:type="dxa" w:w="100"/>
            </w:tcMar>
          </w:tcPr>
          <w:p>
            <w:pPr>
              <w:spacing w:after="0" w:line="235"/>
            </w:pPr>
            <w:r>
              <w:rPr>
                <w:rFonts w:ascii="Cambria" w:cs="Cambria" w:eastAsia="Cambria" w:hAnsi="Cambria"/>
                <w:b w:val="false"/>
                <w:bCs w:val="false"/>
                <w:color w:val="17232A"/>
                <w:sz w:val="17"/>
                <w:szCs w:val="17"/>
              </w:rPr>
              <w:t xml:space="preserve">9h30 et 11h30</w:t>
            </w:r>
          </w:p>
        </w:tc>
        <w:tc>
          <w:tcPr>
            <w:tcW w:type="dxa" w:w="7497"/>
            <w:tcMar>
              <w:top w:type="dxa" w:w="60"/>
              <w:left w:type="dxa" w:w="100"/>
              <w:bottom w:type="dxa" w:w="60"/>
              <w:right w:type="dxa" w:w="100"/>
            </w:tcMar>
          </w:tcPr>
          <w:p>
            <w:pPr>
              <w:spacing w:after="0" w:line="235"/>
            </w:pPr>
            <w:r>
              <w:rPr>
                <w:rFonts w:ascii="Cambria" w:cs="Cambria" w:eastAsia="Cambria" w:hAnsi="Cambria"/>
                <w:b w:val="false"/>
                <w:bCs w:val="false"/>
                <w:color w:val="17232A"/>
                <w:sz w:val="17"/>
                <w:szCs w:val="17"/>
              </w:rPr>
              <w:t xml:space="preserve">Passages du matin à l’accueil principal</w:t>
            </w:r>
          </w:p>
        </w:tc>
      </w:tr>
      <w:tr>
        <w:tc>
          <w:tcPr>
            <w:tcW w:type="dxa" w:w="2367"/>
            <w:tcMar>
              <w:top w:type="dxa" w:w="60"/>
              <w:left w:type="dxa" w:w="100"/>
              <w:bottom w:type="dxa" w:w="60"/>
              <w:right w:type="dxa" w:w="100"/>
            </w:tcMar>
          </w:tcPr>
          <w:p>
            <w:pPr>
              <w:spacing w:after="0" w:line="235"/>
            </w:pPr>
            <w:r>
              <w:rPr>
                <w:rFonts w:ascii="Cambria" w:cs="Cambria" w:eastAsia="Cambria" w:hAnsi="Cambria"/>
                <w:b w:val="false"/>
                <w:bCs w:val="false"/>
                <w:color w:val="17232A"/>
                <w:sz w:val="17"/>
                <w:szCs w:val="17"/>
              </w:rPr>
              <w:t xml:space="preserve">10h30 – 11h00</w:t>
            </w:r>
          </w:p>
        </w:tc>
        <w:tc>
          <w:tcPr>
            <w:tcW w:type="dxa" w:w="7497"/>
            <w:tcMar>
              <w:top w:type="dxa" w:w="60"/>
              <w:left w:type="dxa" w:w="100"/>
              <w:bottom w:type="dxa" w:w="60"/>
              <w:right w:type="dxa" w:w="100"/>
            </w:tcMar>
          </w:tcPr>
          <w:p>
            <w:pPr>
              <w:spacing w:after="0" w:line="235"/>
            </w:pPr>
            <w:r>
              <w:rPr>
                <w:rFonts w:ascii="Cambria" w:cs="Cambria" w:eastAsia="Cambria" w:hAnsi="Cambria"/>
                <w:b w:val="false"/>
                <w:bCs w:val="false"/>
                <w:color w:val="17232A"/>
                <w:sz w:val="17"/>
                <w:szCs w:val="17"/>
              </w:rPr>
              <w:t xml:space="preserve">Courrier trié, tamponné et distribué dans les bannettes</w:t>
            </w:r>
          </w:p>
        </w:tc>
      </w:tr>
      <w:tr>
        <w:tc>
          <w:tcPr>
            <w:tcW w:type="dxa" w:w="2367"/>
            <w:tcMar>
              <w:top w:type="dxa" w:w="60"/>
              <w:left w:type="dxa" w:w="100"/>
              <w:bottom w:type="dxa" w:w="60"/>
              <w:right w:type="dxa" w:w="100"/>
            </w:tcMar>
          </w:tcPr>
          <w:p>
            <w:pPr>
              <w:spacing w:after="0" w:line="235"/>
            </w:pPr>
            <w:r>
              <w:rPr>
                <w:rFonts w:ascii="Cambria" w:cs="Cambria" w:eastAsia="Cambria" w:hAnsi="Cambria"/>
                <w:b w:val="false"/>
                <w:bCs w:val="false"/>
                <w:color w:val="17232A"/>
                <w:sz w:val="17"/>
                <w:szCs w:val="17"/>
              </w:rPr>
              <w:t xml:space="preserve">15h00 et 16h00</w:t>
            </w:r>
          </w:p>
        </w:tc>
        <w:tc>
          <w:tcPr>
            <w:tcW w:type="dxa" w:w="7497"/>
            <w:tcMar>
              <w:top w:type="dxa" w:w="60"/>
              <w:left w:type="dxa" w:w="100"/>
              <w:bottom w:type="dxa" w:w="60"/>
              <w:right w:type="dxa" w:w="100"/>
            </w:tcMar>
          </w:tcPr>
          <w:p>
            <w:pPr>
              <w:spacing w:after="0" w:line="235"/>
            </w:pPr>
            <w:r>
              <w:rPr>
                <w:rFonts w:ascii="Cambria" w:cs="Cambria" w:eastAsia="Cambria" w:hAnsi="Cambria"/>
                <w:b w:val="false"/>
                <w:bCs w:val="false"/>
                <w:color w:val="17232A"/>
                <w:sz w:val="17"/>
                <w:szCs w:val="17"/>
              </w:rPr>
              <w:t xml:space="preserve">Passages de l'après-midi, dépôt du courrier au départ</w:t>
            </w:r>
          </w:p>
        </w:tc>
      </w:tr>
      <w:tr>
        <w:tc>
          <w:tcPr>
            <w:tcW w:type="dxa" w:w="2367"/>
            <w:tcMar>
              <w:top w:type="dxa" w:w="60"/>
              <w:left w:type="dxa" w:w="100"/>
              <w:bottom w:type="dxa" w:w="60"/>
              <w:right w:type="dxa" w:w="100"/>
            </w:tcMar>
          </w:tcPr>
          <w:p>
            <w:pPr>
              <w:spacing w:after="0" w:line="235"/>
            </w:pPr>
            <w:r>
              <w:rPr>
                <w:rFonts w:ascii="Cambria" w:cs="Cambria" w:eastAsia="Cambria" w:hAnsi="Cambria"/>
                <w:b w:val="false"/>
                <w:bCs w:val="false"/>
                <w:color w:val="17232A"/>
                <w:sz w:val="17"/>
                <w:szCs w:val="17"/>
              </w:rPr>
              <w:t xml:space="preserve">Avant 16h00</w:t>
            </w:r>
          </w:p>
        </w:tc>
        <w:tc>
          <w:tcPr>
            <w:tcW w:type="dxa" w:w="7497"/>
            <w:tcMar>
              <w:top w:type="dxa" w:w="60"/>
              <w:left w:type="dxa" w:w="100"/>
              <w:bottom w:type="dxa" w:w="60"/>
              <w:right w:type="dxa" w:w="100"/>
            </w:tcMar>
          </w:tcPr>
          <w:p>
            <w:pPr>
              <w:spacing w:after="0" w:line="235"/>
            </w:pPr>
            <w:r>
              <w:rPr>
                <w:rFonts w:ascii="Cambria" w:cs="Cambria" w:eastAsia="Cambria" w:hAnsi="Cambria"/>
                <w:b w:val="false"/>
                <w:bCs w:val="false"/>
                <w:color w:val="17232A"/>
                <w:sz w:val="17"/>
                <w:szCs w:val="17"/>
              </w:rPr>
              <w:t xml:space="preserve">Pochette Affranchigo déposée à l'accueil principal</w:t>
            </w:r>
          </w:p>
        </w:tc>
      </w:tr>
      <w:tr>
        <w:tc>
          <w:tcPr>
            <w:tcW w:type="dxa" w:w="2367"/>
            <w:tcMar>
              <w:top w:type="dxa" w:w="60"/>
              <w:left w:type="dxa" w:w="100"/>
              <w:bottom w:type="dxa" w:w="60"/>
              <w:right w:type="dxa" w:w="100"/>
            </w:tcMar>
          </w:tcPr>
          <w:p>
            <w:pPr>
              <w:spacing w:after="0" w:line="235"/>
            </w:pPr>
            <w:r>
              <w:rPr>
                <w:rFonts w:ascii="Cambria" w:cs="Cambria" w:eastAsia="Cambria" w:hAnsi="Cambria"/>
                <w:b w:val="false"/>
                <w:bCs w:val="false"/>
                <w:color w:val="17232A"/>
                <w:sz w:val="17"/>
                <w:szCs w:val="17"/>
              </w:rPr>
              <w:t xml:space="preserve">Fin de journée</w:t>
            </w:r>
          </w:p>
        </w:tc>
        <w:tc>
          <w:tcPr>
            <w:tcW w:type="dxa" w:w="7497"/>
            <w:tcMar>
              <w:top w:type="dxa" w:w="60"/>
              <w:left w:type="dxa" w:w="100"/>
              <w:bottom w:type="dxa" w:w="60"/>
              <w:right w:type="dxa" w:w="100"/>
            </w:tcMar>
          </w:tcPr>
          <w:p>
            <w:pPr>
              <w:spacing w:after="0" w:line="235"/>
            </w:pPr>
            <w:r>
              <w:rPr>
                <w:rFonts w:ascii="Cambria" w:cs="Cambria" w:eastAsia="Cambria" w:hAnsi="Cambria"/>
                <w:b w:val="false"/>
                <w:bCs w:val="false"/>
                <w:color w:val="17232A"/>
                <w:sz w:val="17"/>
                <w:szCs w:val="17"/>
              </w:rPr>
              <w:t xml:space="preserve">Plis et colis non récupérés rangés dans le local des services généraux</w:t>
            </w:r>
          </w:p>
        </w:tc>
      </w:tr>
    </w:tbl>
    <w:p>
      <w:pPr>
        <w:keepNext/>
        <w:pBdr>
          <w:top w:val="single" w:color="D3DBDB" w:sz="4" w:space="8"/>
        </w:pBdr>
        <w:spacing w:after="62" w:before="140"/>
      </w:pPr>
      <w:r>
        <w:rPr>
          <w:rFonts w:ascii="Arial" w:cs="Arial" w:eastAsia="Arial" w:hAnsi="Arial"/>
          <w:b/>
          <w:bCs/>
          <w:color w:val="0D5C63"/>
          <w:sz w:val="22"/>
          <w:szCs w:val="22"/>
        </w:rPr>
        <w:t xml:space="preserve">2   </w:t>
      </w:r>
      <w:r>
        <w:rPr>
          <w:rFonts w:ascii="Arial" w:cs="Arial" w:eastAsia="Arial" w:hAnsi="Arial"/>
          <w:b/>
          <w:bCs/>
          <w:color w:val="17232A"/>
          <w:sz w:val="22"/>
          <w:szCs w:val="22"/>
        </w:rPr>
        <w:t xml:space="preserve">Courrier à l'arrivée</w:t>
      </w:r>
    </w:p>
    <w:p>
      <w:pPr>
        <w:pStyle w:val="ListParagraph"/>
        <w:numPr>
          <w:ilvl w:val="0"/>
          <w:numId w:val="2"/>
        </w:numPr>
        <w:spacing w:after="38" w:line="240"/>
      </w:pPr>
      <w:r>
        <w:rPr>
          <w:rFonts w:ascii="Cambria" w:cs="Cambria" w:eastAsia="Cambria" w:hAnsi="Cambria"/>
          <w:color w:val="17232A"/>
          <w:sz w:val="18"/>
          <w:szCs w:val="18"/>
        </w:rPr>
        <w:t xml:space="preserve">Récupérer le courrier à l'accueil principal entre 9h00 et 9h30.</w:t>
      </w:r>
    </w:p>
    <w:p>
      <w:pPr>
        <w:pStyle w:val="ListParagraph"/>
        <w:numPr>
          <w:ilvl w:val="0"/>
          <w:numId w:val="2"/>
        </w:numPr>
        <w:spacing w:after="38" w:line="240"/>
      </w:pPr>
      <w:r>
        <w:rPr>
          <w:rFonts w:ascii="Cambria" w:cs="Cambria" w:eastAsia="Cambria" w:hAnsi="Cambria"/>
          <w:color w:val="17232A"/>
          <w:sz w:val="18"/>
          <w:szCs w:val="18"/>
        </w:rPr>
        <w:t xml:space="preserve">Trier et </w:t>
      </w:r>
      <w:r>
        <w:rPr>
          <w:rFonts w:ascii="Cambria" w:cs="Cambria" w:eastAsia="Cambria" w:hAnsi="Cambria"/>
          <w:b/>
          <w:bCs/>
          <w:color w:val="17232A"/>
          <w:sz w:val="18"/>
          <w:szCs w:val="18"/>
        </w:rPr>
        <w:t xml:space="preserve">tamponner</w:t>
      </w:r>
      <w:r>
        <w:rPr>
          <w:rFonts w:ascii="Cambria" w:cs="Cambria" w:eastAsia="Cambria" w:hAnsi="Cambria"/>
          <w:color w:val="17232A"/>
          <w:sz w:val="18"/>
          <w:szCs w:val="18"/>
        </w:rPr>
        <w:t xml:space="preserve"> le courrier, en ajoutant les preuves de dépôt (avis de réception) à la date du jour.</w:t>
      </w:r>
    </w:p>
    <w:p>
      <w:pPr>
        <w:pStyle w:val="ListParagraph"/>
        <w:numPr>
          <w:ilvl w:val="0"/>
          <w:numId w:val="2"/>
        </w:numPr>
        <w:spacing w:after="38" w:line="240"/>
      </w:pPr>
      <w:r>
        <w:rPr>
          <w:rFonts w:ascii="Cambria" w:cs="Cambria" w:eastAsia="Cambria" w:hAnsi="Cambria"/>
          <w:color w:val="17232A"/>
          <w:sz w:val="18"/>
          <w:szCs w:val="18"/>
        </w:rPr>
        <w:t xml:space="preserve">Répartir en deux catégories : </w:t>
      </w:r>
      <w:r>
        <w:rPr>
          <w:rFonts w:ascii="Cambria" w:cs="Cambria" w:eastAsia="Cambria" w:hAnsi="Cambria"/>
          <w:b/>
          <w:bCs/>
          <w:color w:val="17232A"/>
          <w:sz w:val="18"/>
          <w:szCs w:val="18"/>
        </w:rPr>
        <w:t xml:space="preserve">nominatif</w:t>
      </w:r>
      <w:r>
        <w:rPr>
          <w:rFonts w:ascii="Cambria" w:cs="Cambria" w:eastAsia="Cambria" w:hAnsi="Cambria"/>
          <w:color w:val="17232A"/>
          <w:sz w:val="18"/>
          <w:szCs w:val="18"/>
        </w:rPr>
        <w:t xml:space="preserve"> et </w:t>
      </w:r>
      <w:r>
        <w:rPr>
          <w:rFonts w:ascii="Cambria" w:cs="Cambria" w:eastAsia="Cambria" w:hAnsi="Cambria"/>
          <w:b/>
          <w:bCs/>
          <w:color w:val="17232A"/>
          <w:sz w:val="18"/>
          <w:szCs w:val="18"/>
        </w:rPr>
        <w:t xml:space="preserve">non nominatif</w:t>
      </w:r>
      <w:r>
        <w:rPr>
          <w:rFonts w:ascii="Cambria" w:cs="Cambria" w:eastAsia="Cambria" w:hAnsi="Cambria"/>
          <w:color w:val="17232A"/>
          <w:sz w:val="18"/>
          <w:szCs w:val="18"/>
        </w:rPr>
        <w:t xml:space="preserve"> portant un nom de service.</w:t>
      </w:r>
    </w:p>
    <w:p>
      <w:pPr>
        <w:pStyle w:val="ListParagraph"/>
        <w:numPr>
          <w:ilvl w:val="0"/>
          <w:numId w:val="2"/>
        </w:numPr>
        <w:spacing w:after="38" w:line="240"/>
      </w:pPr>
      <w:r>
        <w:rPr>
          <w:rFonts w:ascii="Cambria" w:cs="Cambria" w:eastAsia="Cambria" w:hAnsi="Cambria"/>
          <w:color w:val="17232A"/>
          <w:sz w:val="18"/>
          <w:szCs w:val="18"/>
        </w:rPr>
        <w:t xml:space="preserve">Un courrier qui n'est ni l'un ni l'autre est ouvert pour identifier le destinataire, qui est ensuite prévenu.</w:t>
      </w:r>
    </w:p>
    <w:p>
      <w:pPr>
        <w:pStyle w:val="ListParagraph"/>
        <w:numPr>
          <w:ilvl w:val="0"/>
          <w:numId w:val="2"/>
        </w:numPr>
        <w:spacing w:after="38" w:line="240"/>
      </w:pPr>
      <w:r>
        <w:rPr>
          <w:rFonts w:ascii="Cambria" w:cs="Cambria" w:eastAsia="Cambria" w:hAnsi="Cambria"/>
          <w:color w:val="17232A"/>
          <w:sz w:val="18"/>
          <w:szCs w:val="18"/>
        </w:rPr>
        <w:t xml:space="preserve">Déposer le courrier dans les bannettes prévues, </w:t>
      </w:r>
      <w:r>
        <w:rPr>
          <w:rFonts w:ascii="Cambria" w:cs="Cambria" w:eastAsia="Cambria" w:hAnsi="Cambria"/>
          <w:b/>
          <w:bCs/>
          <w:color w:val="17232A"/>
          <w:sz w:val="18"/>
          <w:szCs w:val="18"/>
        </w:rPr>
        <w:t xml:space="preserve">avant 10h30 – 11h00</w:t>
      </w:r>
      <w:r>
        <w:rPr>
          <w:rFonts w:ascii="Cambria" w:cs="Cambria" w:eastAsia="Cambria" w:hAnsi="Cambria"/>
          <w:color w:val="17232A"/>
          <w:sz w:val="18"/>
          <w:szCs w:val="18"/>
        </w:rPr>
        <w:t xml:space="preserve">, et prévenir les personnes concernées par Teams.</w:t>
      </w:r>
    </w:p>
    <w:p>
      <w:pPr>
        <w:pStyle w:val="ListParagraph"/>
        <w:numPr>
          <w:ilvl w:val="0"/>
          <w:numId w:val="2"/>
        </w:numPr>
        <w:spacing w:after="38" w:line="240"/>
      </w:pPr>
      <w:r>
        <w:rPr>
          <w:rFonts w:ascii="Cambria" w:cs="Cambria" w:eastAsia="Cambria" w:hAnsi="Cambria"/>
          <w:color w:val="17232A"/>
          <w:sz w:val="18"/>
          <w:szCs w:val="18"/>
        </w:rPr>
        <w:t xml:space="preserve">Les courriers publicitaires ne sont pas distribués : ils sont jetés.</w:t>
      </w:r>
    </w:p>
    <w:p>
      <w:pPr>
        <w:spacing w:after="60"/>
      </w:pPr>
    </w:p>
    <w:tbl>
      <w:tblPr>
        <w:tblW w:type="dxa" w:w="9864"/>
        <w:tblBorders>
          <w:top w:val="none"/>
          <w:left w:val="single" w:color="94322B" w:sz="18"/>
          <w:bottom w:val="none"/>
          <w:right w:val="none"/>
          <w:insideH w:val="none"/>
          <w:insideV w:val="none"/>
        </w:tblBorders>
      </w:tblPr>
      <w:tblGrid>
        <w:gridCol w:w="9864"/>
      </w:tblGrid>
      <w:tr>
        <w:tc>
          <w:tcPr>
            <w:tcW w:type="dxa" w:w="9864"/>
            <w:shd w:fill="F8E7E4" w:color="auto" w:val="clear"/>
            <w:tcMar>
              <w:top w:type="dxa" w:w="100"/>
              <w:left w:type="dxa" w:w="150"/>
              <w:bottom w:type="dxa" w:w="100"/>
              <w:right w:type="dxa" w:w="150"/>
            </w:tcMar>
          </w:tcPr>
          <w:p>
            <w:pPr>
              <w:spacing w:after="45"/>
            </w:pPr>
            <w:r>
              <w:rPr>
                <w:rFonts w:ascii="Arial" w:cs="Arial" w:eastAsia="Arial" w:hAnsi="Arial"/>
                <w:b/>
                <w:bCs/>
                <w:color w:val="94322B"/>
                <w:spacing w:val="25"/>
                <w:sz w:val="13"/>
                <w:szCs w:val="13"/>
              </w:rPr>
              <w:t xml:space="preserve">NE JAMAIS OUVRIR</w:t>
            </w:r>
          </w:p>
          <w:p>
            <w:pPr>
              <w:spacing w:after="0" w:line="235"/>
            </w:pPr>
            <w:r>
              <w:rPr>
                <w:rFonts w:ascii="Cambria" w:cs="Cambria" w:eastAsia="Cambria" w:hAnsi="Cambria"/>
                <w:color w:val="17232A"/>
                <w:sz w:val="17"/>
                <w:szCs w:val="17"/>
              </w:rPr>
              <w:t xml:space="preserve">Ces courriers sont tamponnés puis transmis tels quels : service </w:t>
            </w:r>
            <w:r>
              <w:rPr>
                <w:rFonts w:ascii="Cambria" w:cs="Cambria" w:eastAsia="Cambria" w:hAnsi="Cambria"/>
                <w:b/>
                <w:bCs/>
                <w:color w:val="17232A"/>
                <w:sz w:val="17"/>
                <w:szCs w:val="17"/>
              </w:rPr>
              <w:t xml:space="preserve">conformité</w:t>
            </w:r>
            <w:r>
              <w:rPr>
                <w:rFonts w:ascii="Cambria" w:cs="Cambria" w:eastAsia="Cambria" w:hAnsi="Cambria"/>
                <w:color w:val="17232A"/>
                <w:sz w:val="17"/>
                <w:szCs w:val="17"/>
              </w:rPr>
              <w:t xml:space="preserve">, service </w:t>
            </w:r>
            <w:r>
              <w:rPr>
                <w:rFonts w:ascii="Cambria" w:cs="Cambria" w:eastAsia="Cambria" w:hAnsi="Cambria"/>
                <w:b/>
                <w:bCs/>
                <w:color w:val="17232A"/>
                <w:sz w:val="17"/>
                <w:szCs w:val="17"/>
              </w:rPr>
              <w:t xml:space="preserve">RH</w:t>
            </w:r>
            <w:r>
              <w:rPr>
                <w:rFonts w:ascii="Cambria" w:cs="Cambria" w:eastAsia="Cambria" w:hAnsi="Cambria"/>
                <w:color w:val="17232A"/>
                <w:sz w:val="17"/>
                <w:szCs w:val="17"/>
              </w:rPr>
              <w:t xml:space="preserve">, mention </w:t>
            </w:r>
            <w:r>
              <w:rPr>
                <w:rFonts w:ascii="Cambria" w:cs="Cambria" w:eastAsia="Cambria" w:hAnsi="Cambria"/>
                <w:b/>
                <w:bCs/>
                <w:color w:val="17232A"/>
                <w:sz w:val="17"/>
                <w:szCs w:val="17"/>
              </w:rPr>
              <w:t xml:space="preserve">« confidentiel »</w:t>
            </w:r>
            <w:r>
              <w:rPr>
                <w:rFonts w:ascii="Cambria" w:cs="Cambria" w:eastAsia="Cambria" w:hAnsi="Cambria"/>
                <w:color w:val="17232A"/>
                <w:sz w:val="17"/>
                <w:szCs w:val="17"/>
              </w:rPr>
              <w:t xml:space="preserve">, </w:t>
            </w:r>
            <w:r>
              <w:rPr>
                <w:rFonts w:ascii="Cambria" w:cs="Cambria" w:eastAsia="Cambria" w:hAnsi="Cambria"/>
                <w:b/>
                <w:bCs/>
                <w:color w:val="17232A"/>
                <w:sz w:val="17"/>
                <w:szCs w:val="17"/>
              </w:rPr>
              <w:t xml:space="preserve">recommandé retour expéditeur</w:t>
            </w:r>
            <w:r>
              <w:rPr>
                <w:rFonts w:ascii="Cambria" w:cs="Cambria" w:eastAsia="Cambria" w:hAnsi="Cambria"/>
                <w:color w:val="17232A"/>
                <w:sz w:val="17"/>
                <w:szCs w:val="17"/>
              </w:rPr>
              <w:t xml:space="preserve">, plis de la </w:t>
            </w:r>
            <w:r>
              <w:rPr>
                <w:rFonts w:ascii="Cambria" w:cs="Cambria" w:eastAsia="Cambria" w:hAnsi="Cambria"/>
                <w:b/>
                <w:bCs/>
                <w:color w:val="17232A"/>
                <w:sz w:val="17"/>
                <w:szCs w:val="17"/>
              </w:rPr>
              <w:t xml:space="preserve">Direction Partenaire et Affaires Publiques</w:t>
            </w:r>
            <w:r>
              <w:rPr>
                <w:rFonts w:ascii="Cambria" w:cs="Cambria" w:eastAsia="Cambria" w:hAnsi="Cambria"/>
                <w:color w:val="17232A"/>
                <w:sz w:val="17"/>
                <w:szCs w:val="17"/>
              </w:rPr>
              <w:t xml:space="preserve">.</w:t>
            </w:r>
          </w:p>
        </w:tc>
      </w:tr>
    </w:tbl>
    <w:p>
      <w:pPr>
        <w:keepNext/>
        <w:pBdr>
          <w:top w:val="single" w:color="D3DBDB" w:sz="4" w:space="8"/>
        </w:pBdr>
        <w:spacing w:after="62" w:before="140"/>
      </w:pPr>
      <w:r>
        <w:rPr>
          <w:rFonts w:ascii="Arial" w:cs="Arial" w:eastAsia="Arial" w:hAnsi="Arial"/>
          <w:b/>
          <w:bCs/>
          <w:color w:val="0D5C63"/>
          <w:sz w:val="22"/>
          <w:szCs w:val="22"/>
        </w:rPr>
        <w:t xml:space="preserve">3   </w:t>
      </w:r>
      <w:r>
        <w:rPr>
          <w:rFonts w:ascii="Arial" w:cs="Arial" w:eastAsia="Arial" w:hAnsi="Arial"/>
          <w:b/>
          <w:bCs/>
          <w:color w:val="17232A"/>
          <w:sz w:val="22"/>
          <w:szCs w:val="22"/>
        </w:rPr>
        <w:t xml:space="preserve">Plis et colis à l'arrivée</w:t>
      </w:r>
    </w:p>
    <w:p>
      <w:pPr>
        <w:pStyle w:val="ListParagraph"/>
        <w:numPr>
          <w:ilvl w:val="0"/>
          <w:numId w:val="2"/>
        </w:numPr>
        <w:spacing w:after="38" w:line="240"/>
      </w:pPr>
      <w:r>
        <w:rPr>
          <w:rFonts w:ascii="Cambria" w:cs="Cambria" w:eastAsia="Cambria" w:hAnsi="Cambria"/>
          <w:color w:val="17232A"/>
          <w:sz w:val="18"/>
          <w:szCs w:val="18"/>
        </w:rPr>
        <w:t xml:space="preserve">L'accueil principal signale l'arrivée d'un pli ou d'un colis. Descendre le chercher, puis prévenir le collaborateur par Teams — un message type est disponible.</w:t>
      </w:r>
    </w:p>
    <w:p>
      <w:pPr>
        <w:pStyle w:val="ListParagraph"/>
        <w:numPr>
          <w:ilvl w:val="0"/>
          <w:numId w:val="2"/>
        </w:numPr>
        <w:spacing w:after="38" w:line="240"/>
      </w:pPr>
      <w:r>
        <w:rPr>
          <w:rFonts w:ascii="Cambria" w:cs="Cambria" w:eastAsia="Cambria" w:hAnsi="Cambria"/>
          <w:b/>
          <w:bCs/>
          <w:color w:val="17232A"/>
          <w:sz w:val="18"/>
          <w:szCs w:val="18"/>
        </w:rPr>
        <w:t xml:space="preserve">Enregistrer systématiquement dans Welcome by</w:t>
      </w:r>
      <w:r>
        <w:rPr>
          <w:rFonts w:ascii="Cambria" w:cs="Cambria" w:eastAsia="Cambria" w:hAnsi="Cambria"/>
          <w:color w:val="17232A"/>
          <w:sz w:val="18"/>
          <w:szCs w:val="18"/>
        </w:rPr>
        <w:t xml:space="preserve"> : date, heure, nombre d'expéditions et destinataire, personne prévenue, prise en charge (date et heure).</w:t>
      </w:r>
    </w:p>
    <w:p>
      <w:pPr>
        <w:pStyle w:val="ListParagraph"/>
        <w:numPr>
          <w:ilvl w:val="0"/>
          <w:numId w:val="2"/>
        </w:numPr>
        <w:spacing w:after="38" w:line="240"/>
      </w:pPr>
      <w:r>
        <w:rPr>
          <w:rFonts w:ascii="Cambria" w:cs="Cambria" w:eastAsia="Cambria" w:hAnsi="Cambria"/>
          <w:color w:val="17232A"/>
          <w:sz w:val="18"/>
          <w:szCs w:val="18"/>
        </w:rPr>
        <w:t xml:space="preserve">Le pli peut être conservé une journée au service généraux. En fin de journée, relancer par Teams les collaborateurs qui ne sont pas venus, puis déposer les plis restants dans le local prévu.</w:t>
      </w:r>
    </w:p>
    <w:p>
      <w:pPr>
        <w:keepNext/>
        <w:spacing w:after="45" w:before="100"/>
      </w:pPr>
      <w:r>
        <w:rPr>
          <w:rFonts w:ascii="Arial" w:cs="Arial" w:eastAsia="Arial" w:hAnsi="Arial"/>
          <w:b/>
          <w:bCs/>
          <w:color w:val="17232A"/>
          <w:sz w:val="18"/>
          <w:szCs w:val="18"/>
        </w:rPr>
        <w:t xml:space="preserve">Remise au destinataire</w:t>
      </w:r>
    </w:p>
    <w:p>
      <w:pPr>
        <w:pStyle w:val="ListParagraph"/>
        <w:numPr>
          <w:ilvl w:val="0"/>
          <w:numId w:val="2"/>
        </w:numPr>
        <w:spacing w:after="38" w:line="240"/>
      </w:pPr>
      <w:r>
        <w:rPr>
          <w:rFonts w:ascii="Cambria" w:cs="Cambria" w:eastAsia="Cambria" w:hAnsi="Cambria"/>
          <w:color w:val="17232A"/>
          <w:sz w:val="18"/>
          <w:szCs w:val="18"/>
        </w:rPr>
        <w:t xml:space="preserve">Rechercher le pli par le nom du destinataire dans Welcome by, puis cliquer sur </w:t>
      </w:r>
      <w:r>
        <w:rPr>
          <w:rFonts w:ascii="Consolas" w:cs="Consolas" w:eastAsia="Consolas" w:hAnsi="Consolas"/>
          <w:color w:val="0D5C63"/>
          <w:sz w:val="16"/>
          <w:szCs w:val="16"/>
          <w:shd w:fill="EDF2F1" w:color="auto" w:val="clear"/>
        </w:rPr>
        <w:t xml:space="preserve">Remettre</w:t>
      </w:r>
      <w:r>
        <w:rPr>
          <w:rFonts w:ascii="Cambria" w:cs="Cambria" w:eastAsia="Cambria" w:hAnsi="Cambria"/>
          <w:color w:val="17232A"/>
          <w:sz w:val="18"/>
          <w:szCs w:val="18"/>
        </w:rPr>
        <w:t xml:space="preserve">.</w:t>
      </w:r>
    </w:p>
    <w:p>
      <w:pPr>
        <w:pStyle w:val="ListParagraph"/>
        <w:numPr>
          <w:ilvl w:val="0"/>
          <w:numId w:val="2"/>
        </w:numPr>
        <w:spacing w:after="38" w:line="240"/>
      </w:pPr>
      <w:r>
        <w:rPr>
          <w:rFonts w:ascii="Cambria" w:cs="Cambria" w:eastAsia="Cambria" w:hAnsi="Cambria"/>
          <w:color w:val="17232A"/>
          <w:sz w:val="18"/>
          <w:szCs w:val="18"/>
        </w:rPr>
        <w:t xml:space="preserve">Toute remise se fait </w:t>
      </w:r>
      <w:r>
        <w:rPr>
          <w:rFonts w:ascii="Cambria" w:cs="Cambria" w:eastAsia="Cambria" w:hAnsi="Cambria"/>
          <w:b/>
          <w:bCs/>
          <w:color w:val="17232A"/>
          <w:sz w:val="18"/>
          <w:szCs w:val="18"/>
        </w:rPr>
        <w:t xml:space="preserve">contre code sécurisé et signature</w:t>
      </w:r>
      <w:r>
        <w:rPr>
          <w:rFonts w:ascii="Cambria" w:cs="Cambria" w:eastAsia="Cambria" w:hAnsi="Cambria"/>
          <w:color w:val="17232A"/>
          <w:sz w:val="18"/>
          <w:szCs w:val="18"/>
        </w:rPr>
        <w:t xml:space="preserve"> : le destinataire communique le code reçu par mail, saisir ce code puis </w:t>
      </w:r>
      <w:r>
        <w:rPr>
          <w:rFonts w:ascii="Consolas" w:cs="Consolas" w:eastAsia="Consolas" w:hAnsi="Consolas"/>
          <w:color w:val="0D5C63"/>
          <w:sz w:val="16"/>
          <w:szCs w:val="16"/>
          <w:shd w:fill="EDF2F1" w:color="auto" w:val="clear"/>
        </w:rPr>
        <w:t xml:space="preserve">Vérifier le code</w:t>
      </w:r>
      <w:r>
        <w:rPr>
          <w:rFonts w:ascii="Cambria" w:cs="Cambria" w:eastAsia="Cambria" w:hAnsi="Cambria"/>
          <w:color w:val="17232A"/>
          <w:sz w:val="18"/>
          <w:szCs w:val="18"/>
        </w:rPr>
        <w:t xml:space="preserve">.</w:t>
      </w:r>
    </w:p>
    <w:p>
      <w:pPr>
        <w:pStyle w:val="ListParagraph"/>
        <w:numPr>
          <w:ilvl w:val="0"/>
          <w:numId w:val="2"/>
        </w:numPr>
        <w:spacing w:after="38" w:line="240"/>
      </w:pPr>
      <w:r>
        <w:rPr>
          <w:rFonts w:ascii="Cambria" w:cs="Cambria" w:eastAsia="Cambria" w:hAnsi="Cambria"/>
          <w:color w:val="17232A"/>
          <w:sz w:val="18"/>
          <w:szCs w:val="18"/>
        </w:rPr>
        <w:t xml:space="preserve">Si l'option est activée, inviter le collaborateur à signer via le lien reçu dans son mail. La confirmation affichée autorise la remise.</w:t>
      </w:r>
    </w:p>
    <w:p>
      <w:pPr>
        <w:pStyle w:val="ListParagraph"/>
        <w:numPr>
          <w:ilvl w:val="0"/>
          <w:numId w:val="2"/>
        </w:numPr>
        <w:spacing w:after="38" w:line="240"/>
      </w:pPr>
      <w:r>
        <w:rPr>
          <w:rFonts w:ascii="Cambria" w:cs="Cambria" w:eastAsia="Cambria" w:hAnsi="Cambria"/>
          <w:color w:val="17232A"/>
          <w:sz w:val="18"/>
          <w:szCs w:val="18"/>
        </w:rPr>
        <w:t xml:space="preserve">Si une autre personne que le destinataire se présente, prévenir le destinataire par mail avant de remettre le pli.</w:t>
      </w:r>
    </w:p>
    <w:p>
      <w:pPr>
        <w:pStyle w:val="ListParagraph"/>
        <w:numPr>
          <w:ilvl w:val="0"/>
          <w:numId w:val="2"/>
        </w:numPr>
        <w:spacing w:after="38" w:line="240"/>
      </w:pPr>
      <w:r>
        <w:rPr>
          <w:rFonts w:ascii="Cambria" w:cs="Cambria" w:eastAsia="Cambria" w:hAnsi="Cambria"/>
          <w:color w:val="17232A"/>
          <w:sz w:val="18"/>
          <w:szCs w:val="18"/>
        </w:rPr>
        <w:t xml:space="preserve">Ne pas oublier de </w:t>
      </w:r>
      <w:r>
        <w:rPr>
          <w:rFonts w:ascii="Cambria" w:cs="Cambria" w:eastAsia="Cambria" w:hAnsi="Cambria"/>
          <w:b/>
          <w:bCs/>
          <w:color w:val="17232A"/>
          <w:sz w:val="18"/>
          <w:szCs w:val="18"/>
        </w:rPr>
        <w:t xml:space="preserve">changer le statut dans Welcome by</w:t>
      </w:r>
      <w:r>
        <w:rPr>
          <w:rFonts w:ascii="Cambria" w:cs="Cambria" w:eastAsia="Cambria" w:hAnsi="Cambria"/>
          <w:color w:val="17232A"/>
          <w:sz w:val="18"/>
          <w:szCs w:val="18"/>
        </w:rPr>
        <w:t xml:space="preserve"> une fois le pli récupéré.</w:t>
      </w:r>
    </w:p>
    <w:p>
      <w:pPr>
        <w:keepNext/>
        <w:spacing w:after="45" w:before="100"/>
      </w:pPr>
      <w:r>
        <w:rPr>
          <w:rFonts w:ascii="Arial" w:cs="Arial" w:eastAsia="Arial" w:hAnsi="Arial"/>
          <w:b/>
          <w:bCs/>
          <w:color w:val="17232A"/>
          <w:sz w:val="18"/>
          <w:szCs w:val="18"/>
        </w:rPr>
        <w:t xml:space="preserve">Colis particuliers</w:t>
      </w:r>
    </w:p>
    <w:p>
      <w:pPr>
        <w:pStyle w:val="ListParagraph"/>
        <w:numPr>
          <w:ilvl w:val="0"/>
          <w:numId w:val="2"/>
        </w:numPr>
        <w:spacing w:after="38" w:line="240"/>
      </w:pPr>
      <w:r>
        <w:rPr>
          <w:rFonts w:ascii="Cambria" w:cs="Cambria" w:eastAsia="Cambria" w:hAnsi="Cambria"/>
          <w:b/>
          <w:bCs/>
          <w:color w:val="17232A"/>
          <w:sz w:val="18"/>
          <w:szCs w:val="18"/>
        </w:rPr>
        <w:t xml:space="preserve">Colis abîmé</w:t>
      </w:r>
      <w:r>
        <w:rPr>
          <w:rFonts w:ascii="Cambria" w:cs="Cambria" w:eastAsia="Cambria" w:hAnsi="Cambria"/>
          <w:color w:val="17232A"/>
          <w:sz w:val="18"/>
          <w:szCs w:val="18"/>
        </w:rPr>
        <w:t xml:space="preserve"> : vérifier l'état avant d'accepter. Si le colis est endommagé, le prendre en photo, le refuser et informer le responsable des services généraux par mail.</w:t>
      </w:r>
    </w:p>
    <w:p>
      <w:pPr>
        <w:pStyle w:val="ListParagraph"/>
        <w:numPr>
          <w:ilvl w:val="0"/>
          <w:numId w:val="2"/>
        </w:numPr>
        <w:spacing w:after="38" w:line="240"/>
      </w:pPr>
      <w:r>
        <w:rPr>
          <w:rFonts w:ascii="Cambria" w:cs="Cambria" w:eastAsia="Cambria" w:hAnsi="Cambria"/>
          <w:b/>
          <w:bCs/>
          <w:color w:val="17232A"/>
          <w:sz w:val="18"/>
          <w:szCs w:val="18"/>
        </w:rPr>
        <w:t xml:space="preserve">Colis lourd ou volumineux</w:t>
      </w:r>
      <w:r>
        <w:rPr>
          <w:rFonts w:ascii="Cambria" w:cs="Cambria" w:eastAsia="Cambria" w:hAnsi="Cambria"/>
          <w:color w:val="17232A"/>
          <w:sz w:val="18"/>
          <w:szCs w:val="18"/>
        </w:rPr>
        <w:t xml:space="preserve"> : utiliser le chariot prévu et l'ascenseur de service, sans passer par le hall principal. Contacter le destinataire, qui vient le réceptionner.</w:t>
      </w:r>
    </w:p>
    <w:p>
      <w:pPr>
        <w:pStyle w:val="ListParagraph"/>
        <w:numPr>
          <w:ilvl w:val="0"/>
          <w:numId w:val="2"/>
        </w:numPr>
        <w:spacing w:after="38" w:line="240"/>
      </w:pPr>
      <w:r>
        <w:rPr>
          <w:rFonts w:ascii="Cambria" w:cs="Cambria" w:eastAsia="Cambria" w:hAnsi="Cambria"/>
          <w:b/>
          <w:bCs/>
          <w:color w:val="17232A"/>
          <w:sz w:val="18"/>
          <w:szCs w:val="18"/>
        </w:rPr>
        <w:t xml:space="preserve">Colis non nominatif</w:t>
      </w:r>
      <w:r>
        <w:rPr>
          <w:rFonts w:ascii="Cambria" w:cs="Cambria" w:eastAsia="Cambria" w:hAnsi="Cambria"/>
          <w:color w:val="17232A"/>
          <w:sz w:val="18"/>
          <w:szCs w:val="18"/>
        </w:rPr>
        <w:t xml:space="preserve"> : </w:t>
      </w:r>
      <w:r>
        <w:rPr>
          <w:rFonts w:ascii="Arial" w:cs="Arial" w:eastAsia="Arial" w:hAnsi="Arial"/>
          <w:i/>
          <w:iCs/>
          <w:color w:val="6B4B12"/>
          <w:sz w:val="17"/>
          <w:szCs w:val="17"/>
          <w:highlight w:val="yellow"/>
          <w:highlightCs w:val="yellow"/>
        </w:rPr>
        <w:t xml:space="preserve">règle à trancher avec les services généraux</w:t>
      </w:r>
    </w:p>
    <w:p>
      <w:pPr>
        <w:keepNext/>
        <w:pBdr>
          <w:top w:val="single" w:color="D3DBDB" w:sz="4" w:space="8"/>
        </w:pBdr>
        <w:spacing w:after="62" w:before="140"/>
      </w:pPr>
      <w:r>
        <w:rPr>
          <w:rFonts w:ascii="Arial" w:cs="Arial" w:eastAsia="Arial" w:hAnsi="Arial"/>
          <w:b/>
          <w:bCs/>
          <w:color w:val="0D5C63"/>
          <w:sz w:val="22"/>
          <w:szCs w:val="22"/>
        </w:rPr>
        <w:t xml:space="preserve">4   </w:t>
      </w:r>
      <w:r>
        <w:rPr>
          <w:rFonts w:ascii="Arial" w:cs="Arial" w:eastAsia="Arial" w:hAnsi="Arial"/>
          <w:b/>
          <w:bCs/>
          <w:color w:val="17232A"/>
          <w:sz w:val="22"/>
          <w:szCs w:val="22"/>
        </w:rPr>
        <w:t xml:space="preserve">Plis d'huissier</w:t>
      </w:r>
    </w:p>
    <w:p>
      <w:pPr>
        <w:spacing w:after="58" w:line="240"/>
      </w:pPr>
      <w:r>
        <w:rPr>
          <w:rFonts w:ascii="Cambria" w:cs="Cambria" w:eastAsia="Cambria" w:hAnsi="Cambria"/>
          <w:color w:val="17232A"/>
          <w:sz w:val="18"/>
          <w:szCs w:val="18"/>
        </w:rPr>
        <w:t xml:space="preserve">Un pli d'huissier est un acte juridique remis par un huissier de justice : assignation, sommation de payer, signification d'une décision. L'accueil principal appelle, le pli est récupéré puis déposé dans la bannette </w:t>
      </w:r>
      <w:r>
        <w:rPr>
          <w:rFonts w:ascii="Cambria" w:cs="Cambria" w:eastAsia="Cambria" w:hAnsi="Cambria"/>
          <w:b/>
          <w:bCs/>
          <w:color w:val="17232A"/>
          <w:sz w:val="18"/>
          <w:szCs w:val="18"/>
        </w:rPr>
        <w:t xml:space="preserve">Direction Générale</w:t>
      </w:r>
      <w:r>
        <w:rPr>
          <w:rFonts w:ascii="Cambria" w:cs="Cambria" w:eastAsia="Cambria" w:hAnsi="Cambria"/>
          <w:color w:val="17232A"/>
          <w:sz w:val="18"/>
          <w:szCs w:val="18"/>
        </w:rPr>
        <w:t xml:space="preserve">.</w:t>
      </w:r>
    </w:p>
    <w:tbl>
      <w:tblPr>
        <w:tblW w:type="dxa" w:w="9864"/>
        <w:tblBorders>
          <w:top w:val="none"/>
          <w:left w:val="single" w:color="8A5A12" w:sz="18"/>
          <w:bottom w:val="none"/>
          <w:right w:val="none"/>
          <w:insideH w:val="none"/>
          <w:insideV w:val="none"/>
        </w:tblBorders>
      </w:tblPr>
      <w:tblGrid>
        <w:gridCol w:w="9864"/>
      </w:tblGrid>
      <w:tr>
        <w:tc>
          <w:tcPr>
            <w:tcW w:type="dxa" w:w="9864"/>
            <w:shd w:fill="F7EEDE" w:color="auto" w:val="clear"/>
            <w:tcMar>
              <w:top w:type="dxa" w:w="100"/>
              <w:left w:type="dxa" w:w="150"/>
              <w:bottom w:type="dxa" w:w="100"/>
              <w:right w:type="dxa" w:w="150"/>
            </w:tcMar>
          </w:tcPr>
          <w:p>
            <w:pPr>
              <w:spacing w:after="45"/>
            </w:pPr>
            <w:r>
              <w:rPr>
                <w:rFonts w:ascii="Arial" w:cs="Arial" w:eastAsia="Arial" w:hAnsi="Arial"/>
                <w:b/>
                <w:bCs/>
                <w:color w:val="8A5A12"/>
                <w:spacing w:val="25"/>
                <w:sz w:val="13"/>
                <w:szCs w:val="13"/>
              </w:rPr>
              <w:t xml:space="preserve">TRAÇABILITÉ OBLIGATOIRE</w:t>
            </w:r>
          </w:p>
          <w:p>
            <w:pPr>
              <w:spacing w:after="0" w:line="235"/>
            </w:pPr>
            <w:r>
              <w:rPr>
                <w:rFonts w:ascii="Cambria" w:cs="Cambria" w:eastAsia="Cambria" w:hAnsi="Cambria"/>
                <w:color w:val="17232A"/>
                <w:sz w:val="17"/>
                <w:szCs w:val="17"/>
              </w:rPr>
              <w:t xml:space="preserve">Tout pli d'huissier est enregistré dans Welcome by, sans exception.</w:t>
            </w:r>
          </w:p>
        </w:tc>
      </w:tr>
    </w:tbl>
    <w:p>
      <w:pPr>
        <w:keepNext/>
        <w:pBdr>
          <w:top w:val="single" w:color="D3DBDB" w:sz="4" w:space="8"/>
        </w:pBdr>
        <w:spacing w:after="62" w:before="140"/>
      </w:pPr>
      <w:r>
        <w:rPr>
          <w:rFonts w:ascii="Arial" w:cs="Arial" w:eastAsia="Arial" w:hAnsi="Arial"/>
          <w:b/>
          <w:bCs/>
          <w:color w:val="0D5C63"/>
          <w:sz w:val="22"/>
          <w:szCs w:val="22"/>
        </w:rPr>
        <w:t xml:space="preserve">5   </w:t>
      </w:r>
      <w:r>
        <w:rPr>
          <w:rFonts w:ascii="Arial" w:cs="Arial" w:eastAsia="Arial" w:hAnsi="Arial"/>
          <w:b/>
          <w:bCs/>
          <w:color w:val="17232A"/>
          <w:sz w:val="22"/>
          <w:szCs w:val="22"/>
        </w:rPr>
        <w:t xml:space="preserve">Courrier, plis et colis au départ</w:t>
      </w:r>
    </w:p>
    <w:p>
      <w:pPr>
        <w:pStyle w:val="ListParagraph"/>
        <w:numPr>
          <w:ilvl w:val="0"/>
          <w:numId w:val="2"/>
        </w:numPr>
        <w:spacing w:after="38" w:line="240"/>
      </w:pPr>
      <w:r>
        <w:rPr>
          <w:rFonts w:ascii="Cambria" w:cs="Cambria" w:eastAsia="Cambria" w:hAnsi="Cambria"/>
          <w:color w:val="17232A"/>
          <w:sz w:val="18"/>
          <w:szCs w:val="18"/>
        </w:rPr>
        <w:t xml:space="preserve">Le courrier simple et les </w:t>
      </w:r>
      <w:r>
        <w:rPr>
          <w:rFonts w:ascii="Cambria" w:cs="Cambria" w:eastAsia="Cambria" w:hAnsi="Cambria"/>
          <w:b/>
          <w:bCs/>
          <w:color w:val="17232A"/>
          <w:sz w:val="18"/>
          <w:szCs w:val="18"/>
        </w:rPr>
        <w:t xml:space="preserve">LRAR</w:t>
      </w:r>
      <w:r>
        <w:rPr>
          <w:rFonts w:ascii="Cambria" w:cs="Cambria" w:eastAsia="Cambria" w:hAnsi="Cambria"/>
          <w:color w:val="17232A"/>
          <w:sz w:val="18"/>
          <w:szCs w:val="18"/>
        </w:rPr>
        <w:t xml:space="preserve"> sont placés dans la pochette </w:t>
      </w:r>
      <w:r>
        <w:rPr>
          <w:rFonts w:ascii="Cambria" w:cs="Cambria" w:eastAsia="Cambria" w:hAnsi="Cambria"/>
          <w:b/>
          <w:bCs/>
          <w:color w:val="17232A"/>
          <w:sz w:val="18"/>
          <w:szCs w:val="18"/>
        </w:rPr>
        <w:t xml:space="preserve">Affranchigo</w:t>
      </w:r>
      <w:r>
        <w:rPr>
          <w:rFonts w:ascii="Cambria" w:cs="Cambria" w:eastAsia="Cambria" w:hAnsi="Cambria"/>
          <w:color w:val="17232A"/>
          <w:sz w:val="18"/>
          <w:szCs w:val="18"/>
        </w:rPr>
        <w:t xml:space="preserve"> et déposés à l'accueil principal </w:t>
      </w:r>
      <w:r>
        <w:rPr>
          <w:rFonts w:ascii="Cambria" w:cs="Cambria" w:eastAsia="Cambria" w:hAnsi="Cambria"/>
          <w:b/>
          <w:bCs/>
          <w:color w:val="17232A"/>
          <w:sz w:val="18"/>
          <w:szCs w:val="18"/>
        </w:rPr>
        <w:t xml:space="preserve">avant 16h00</w:t>
      </w:r>
      <w:r>
        <w:rPr>
          <w:rFonts w:ascii="Cambria" w:cs="Cambria" w:eastAsia="Cambria" w:hAnsi="Cambria"/>
          <w:color w:val="17232A"/>
          <w:sz w:val="18"/>
          <w:szCs w:val="18"/>
        </w:rPr>
        <w:t xml:space="preserve">. À défaut de pochette Affranchigo, utiliser une pochette rose portant la mention « Affranchigo ».</w:t>
      </w:r>
    </w:p>
    <w:p>
      <w:pPr>
        <w:pStyle w:val="ListParagraph"/>
        <w:numPr>
          <w:ilvl w:val="0"/>
          <w:numId w:val="2"/>
        </w:numPr>
        <w:spacing w:after="38" w:line="240"/>
      </w:pPr>
      <w:r>
        <w:rPr>
          <w:rFonts w:ascii="Cambria" w:cs="Cambria" w:eastAsia="Cambria" w:hAnsi="Cambria"/>
          <w:b/>
          <w:bCs/>
          <w:color w:val="17232A"/>
          <w:sz w:val="18"/>
          <w:szCs w:val="18"/>
        </w:rPr>
        <w:t xml:space="preserve">Tous les LRAR</w:t>
      </w:r>
      <w:r>
        <w:rPr>
          <w:rFonts w:ascii="Cambria" w:cs="Cambria" w:eastAsia="Cambria" w:hAnsi="Cambria"/>
          <w:color w:val="17232A"/>
          <w:sz w:val="18"/>
          <w:szCs w:val="18"/>
        </w:rPr>
        <w:t xml:space="preserve">, à l'arrivée comme au départ, sont notés dans Welcome by.</w:t>
      </w:r>
    </w:p>
    <w:p>
      <w:pPr>
        <w:pStyle w:val="ListParagraph"/>
        <w:numPr>
          <w:ilvl w:val="0"/>
          <w:numId w:val="2"/>
        </w:numPr>
        <w:spacing w:after="38" w:line="240"/>
      </w:pPr>
      <w:r>
        <w:rPr>
          <w:rFonts w:ascii="Cambria" w:cs="Cambria" w:eastAsia="Cambria" w:hAnsi="Cambria"/>
          <w:color w:val="17232A"/>
          <w:sz w:val="18"/>
          <w:szCs w:val="18"/>
        </w:rPr>
        <w:t xml:space="preserve">La navette interne récupère les colis au départ plusieurs fois par semaine. Déposer les plis à côté du bureau, </w:t>
      </w:r>
      <w:r>
        <w:rPr>
          <w:rFonts w:ascii="Cambria" w:cs="Cambria" w:eastAsia="Cambria" w:hAnsi="Cambria"/>
          <w:b/>
          <w:bCs/>
          <w:color w:val="17232A"/>
          <w:sz w:val="18"/>
          <w:szCs w:val="18"/>
        </w:rPr>
        <w:t xml:space="preserve">sans les mélanger avec les plis à l'arrivée</w:t>
      </w:r>
      <w:r>
        <w:rPr>
          <w:rFonts w:ascii="Cambria" w:cs="Cambria" w:eastAsia="Cambria" w:hAnsi="Cambria"/>
          <w:color w:val="17232A"/>
          <w:sz w:val="18"/>
          <w:szCs w:val="18"/>
        </w:rPr>
        <w:t xml:space="preserve">.</w:t>
      </w:r>
    </w:p>
    <w:p>
      <w:pPr>
        <w:keepNext/>
        <w:spacing w:after="45" w:before="100"/>
      </w:pPr>
      <w:r>
        <w:rPr>
          <w:rFonts w:ascii="Arial" w:cs="Arial" w:eastAsia="Arial" w:hAnsi="Arial"/>
          <w:b/>
          <w:bCs/>
          <w:color w:val="17232A"/>
          <w:sz w:val="18"/>
          <w:szCs w:val="18"/>
        </w:rPr>
        <w:t xml:space="preserve">Enregistrer un départ dans Welcome by</w:t>
      </w:r>
    </w:p>
    <w:p>
      <w:pPr>
        <w:pStyle w:val="ListParagraph"/>
        <w:numPr>
          <w:ilvl w:val="0"/>
          <w:numId w:val="2"/>
        </w:numPr>
        <w:spacing w:after="38" w:line="240"/>
      </w:pPr>
      <w:r>
        <w:rPr>
          <w:rFonts w:ascii="Cambria" w:cs="Cambria" w:eastAsia="Cambria" w:hAnsi="Cambria"/>
          <w:color w:val="17232A"/>
          <w:sz w:val="18"/>
          <w:szCs w:val="18"/>
        </w:rPr>
        <w:t xml:space="preserve">Cliquer sur </w:t>
      </w:r>
      <w:r>
        <w:rPr>
          <w:rFonts w:ascii="Consolas" w:cs="Consolas" w:eastAsia="Consolas" w:hAnsi="Consolas"/>
          <w:color w:val="0D5C63"/>
          <w:sz w:val="16"/>
          <w:szCs w:val="16"/>
          <w:shd w:fill="EDF2F1" w:color="auto" w:val="clear"/>
        </w:rPr>
        <w:t xml:space="preserve">Expédition d'un colis</w:t>
      </w:r>
      <w:r>
        <w:rPr>
          <w:rFonts w:ascii="Cambria" w:cs="Cambria" w:eastAsia="Cambria" w:hAnsi="Cambria"/>
          <w:color w:val="17232A"/>
          <w:sz w:val="18"/>
          <w:szCs w:val="18"/>
        </w:rPr>
        <w:t xml:space="preserve"> et remplir les champs requis.</w:t>
      </w:r>
    </w:p>
    <w:p>
      <w:pPr>
        <w:pStyle w:val="ListParagraph"/>
        <w:numPr>
          <w:ilvl w:val="0"/>
          <w:numId w:val="2"/>
        </w:numPr>
        <w:spacing w:after="38" w:line="240"/>
      </w:pPr>
      <w:r>
        <w:rPr>
          <w:rFonts w:ascii="Cambria" w:cs="Cambria" w:eastAsia="Cambria" w:hAnsi="Cambria"/>
          <w:color w:val="17232A"/>
          <w:sz w:val="18"/>
          <w:szCs w:val="18"/>
        </w:rPr>
        <w:t xml:space="preserve">Cocher </w:t>
      </w:r>
      <w:r>
        <w:rPr>
          <w:rFonts w:ascii="Consolas" w:cs="Consolas" w:eastAsia="Consolas" w:hAnsi="Consolas"/>
          <w:color w:val="0D5C63"/>
          <w:sz w:val="16"/>
          <w:szCs w:val="16"/>
          <w:shd w:fill="EDF2F1" w:color="auto" w:val="clear"/>
        </w:rPr>
        <w:t xml:space="preserve">préparé</w:t>
      </w:r>
      <w:r>
        <w:rPr>
          <w:rFonts w:ascii="Cambria" w:cs="Cambria" w:eastAsia="Cambria" w:hAnsi="Cambria"/>
          <w:color w:val="17232A"/>
          <w:sz w:val="18"/>
          <w:szCs w:val="18"/>
        </w:rPr>
        <w:t xml:space="preserve"> si le pli ne demande aucune préparation ultérieure ; sinon le faire depuis la liste une fois la préparation terminée.</w:t>
      </w:r>
    </w:p>
    <w:p>
      <w:pPr>
        <w:pStyle w:val="ListParagraph"/>
        <w:numPr>
          <w:ilvl w:val="0"/>
          <w:numId w:val="2"/>
        </w:numPr>
        <w:spacing w:after="38" w:line="240"/>
      </w:pPr>
      <w:r>
        <w:rPr>
          <w:rFonts w:ascii="Cambria" w:cs="Cambria" w:eastAsia="Cambria" w:hAnsi="Cambria"/>
          <w:color w:val="17232A"/>
          <w:sz w:val="18"/>
          <w:szCs w:val="18"/>
        </w:rPr>
        <w:t xml:space="preserve">Cliquer sur </w:t>
      </w:r>
      <w:r>
        <w:rPr>
          <w:rFonts w:ascii="Consolas" w:cs="Consolas" w:eastAsia="Consolas" w:hAnsi="Consolas"/>
          <w:color w:val="0D5C63"/>
          <w:sz w:val="16"/>
          <w:szCs w:val="16"/>
          <w:shd w:fill="EDF2F1" w:color="auto" w:val="clear"/>
        </w:rPr>
        <w:t xml:space="preserve">expédier</w:t>
      </w:r>
      <w:r>
        <w:rPr>
          <w:rFonts w:ascii="Cambria" w:cs="Cambria" w:eastAsia="Cambria" w:hAnsi="Cambria"/>
          <w:color w:val="17232A"/>
          <w:sz w:val="18"/>
          <w:szCs w:val="18"/>
        </w:rPr>
        <w:t xml:space="preserve"> au moment de la remise au transporteur.</w:t>
      </w:r>
    </w:p>
    <w:p>
      <w:pPr>
        <w:keepNext/>
        <w:pBdr>
          <w:top w:val="single" w:color="D3DBDB" w:sz="4" w:space="8"/>
        </w:pBdr>
        <w:spacing w:after="62" w:before="140"/>
      </w:pPr>
      <w:r>
        <w:rPr>
          <w:rFonts w:ascii="Arial" w:cs="Arial" w:eastAsia="Arial" w:hAnsi="Arial"/>
          <w:b/>
          <w:bCs/>
          <w:color w:val="0D5C63"/>
          <w:sz w:val="22"/>
          <w:szCs w:val="22"/>
        </w:rPr>
        <w:t xml:space="preserve">6   </w:t>
      </w:r>
      <w:r>
        <w:rPr>
          <w:rFonts w:ascii="Arial" w:cs="Arial" w:eastAsia="Arial" w:hAnsi="Arial"/>
          <w:b/>
          <w:bCs/>
          <w:color w:val="17232A"/>
          <w:sz w:val="22"/>
          <w:szCs w:val="22"/>
        </w:rPr>
        <w:t xml:space="preserve">Cas particuliers et interlocuteurs</w:t>
      </w:r>
    </w:p>
    <w:p>
      <w:pPr>
        <w:pStyle w:val="ListParagraph"/>
        <w:numPr>
          <w:ilvl w:val="0"/>
          <w:numId w:val="2"/>
        </w:numPr>
        <w:spacing w:after="38" w:line="240"/>
      </w:pPr>
      <w:r>
        <w:rPr>
          <w:rFonts w:ascii="Cambria" w:cs="Cambria" w:eastAsia="Cambria" w:hAnsi="Cambria"/>
          <w:b/>
          <w:bCs/>
          <w:color w:val="17232A"/>
          <w:sz w:val="18"/>
          <w:szCs w:val="18"/>
        </w:rPr>
        <w:t xml:space="preserve">Flotte automobile et contraventions</w:t>
      </w:r>
      <w:r>
        <w:rPr>
          <w:rFonts w:ascii="Cambria" w:cs="Cambria" w:eastAsia="Cambria" w:hAnsi="Cambria"/>
          <w:color w:val="17232A"/>
          <w:sz w:val="18"/>
          <w:szCs w:val="18"/>
        </w:rPr>
        <w:t xml:space="preserve"> : mettre ce courrier de côté dès l'arrivée et le traiter l'après-midi, </w:t>
      </w:r>
      <w:r>
        <w:rPr>
          <w:rFonts w:ascii="Cambria" w:cs="Cambria" w:eastAsia="Cambria" w:hAnsi="Cambria"/>
          <w:b/>
          <w:bCs/>
          <w:color w:val="17232A"/>
          <w:sz w:val="18"/>
          <w:szCs w:val="18"/>
        </w:rPr>
        <w:t xml:space="preserve">le jour même</w:t>
      </w:r>
      <w:r>
        <w:rPr>
          <w:rFonts w:ascii="Cambria" w:cs="Cambria" w:eastAsia="Cambria" w:hAnsi="Cambria"/>
          <w:color w:val="17232A"/>
          <w:sz w:val="18"/>
          <w:szCs w:val="18"/>
        </w:rPr>
        <w:t xml:space="preserve">, selon la procédure dédiée (scan, envoi à OOVOOM, originaux classés et conservés trois mois).</w:t>
      </w:r>
    </w:p>
    <w:p>
      <w:pPr>
        <w:pStyle w:val="ListParagraph"/>
        <w:numPr>
          <w:ilvl w:val="0"/>
          <w:numId w:val="2"/>
        </w:numPr>
        <w:spacing w:after="38" w:line="240"/>
      </w:pPr>
      <w:r>
        <w:rPr>
          <w:rFonts w:ascii="Cambria" w:cs="Cambria" w:eastAsia="Cambria" w:hAnsi="Cambria"/>
          <w:b/>
          <w:bCs/>
          <w:color w:val="17232A"/>
          <w:sz w:val="18"/>
          <w:szCs w:val="18"/>
        </w:rPr>
        <w:t xml:space="preserve">Courrier adressé au responsable des services généraux</w:t>
      </w:r>
      <w:r>
        <w:rPr>
          <w:rFonts w:ascii="Cambria" w:cs="Cambria" w:eastAsia="Cambria" w:hAnsi="Cambria"/>
          <w:color w:val="17232A"/>
          <w:sz w:val="18"/>
          <w:szCs w:val="18"/>
        </w:rPr>
        <w:t xml:space="preserve"> : déposé sur son bureau, avec information directe si nécessaire.</w:t>
      </w:r>
    </w:p>
    <w:p>
      <w:pPr>
        <w:pStyle w:val="ListParagraph"/>
        <w:numPr>
          <w:ilvl w:val="0"/>
          <w:numId w:val="2"/>
        </w:numPr>
        <w:spacing w:after="38" w:line="240"/>
      </w:pPr>
      <w:r>
        <w:rPr>
          <w:rFonts w:ascii="Cambria" w:cs="Cambria" w:eastAsia="Cambria" w:hAnsi="Cambria"/>
          <w:b/>
          <w:bCs/>
          <w:color w:val="17232A"/>
          <w:sz w:val="18"/>
          <w:szCs w:val="18"/>
        </w:rPr>
        <w:t xml:space="preserve">Direction Générale et membres de la Direction</w:t>
      </w:r>
      <w:r>
        <w:rPr>
          <w:rFonts w:ascii="Cambria" w:cs="Cambria" w:eastAsia="Cambria" w:hAnsi="Cambria"/>
          <w:color w:val="17232A"/>
          <w:sz w:val="18"/>
          <w:szCs w:val="18"/>
        </w:rPr>
        <w:t xml:space="preserve"> : passer par l'assistante, </w:t>
      </w:r>
      <w:r>
        <w:rPr>
          <w:rFonts w:ascii="Cambria" w:cs="Cambria" w:eastAsia="Cambria" w:hAnsi="Cambria"/>
          <w:b/>
          <w:bCs/>
          <w:color w:val="17232A"/>
          <w:sz w:val="18"/>
          <w:szCs w:val="18"/>
        </w:rPr>
        <w:t xml:space="preserve">Mme Marjorie Grand</w:t>
      </w:r>
      <w:r>
        <w:rPr>
          <w:rFonts w:ascii="Cambria" w:cs="Cambria" w:eastAsia="Cambria" w:hAnsi="Cambria"/>
          <w:color w:val="17232A"/>
          <w:sz w:val="18"/>
          <w:szCs w:val="18"/>
        </w:rPr>
        <w:t xml:space="preserve">.</w:t>
      </w:r>
    </w:p>
    <w:p>
      <w:pPr>
        <w:pStyle w:val="ListParagraph"/>
        <w:numPr>
          <w:ilvl w:val="0"/>
          <w:numId w:val="2"/>
        </w:numPr>
        <w:spacing w:after="38" w:line="240"/>
      </w:pPr>
      <w:r>
        <w:rPr>
          <w:rFonts w:ascii="Cambria" w:cs="Cambria" w:eastAsia="Cambria" w:hAnsi="Cambria"/>
          <w:b/>
          <w:bCs/>
          <w:color w:val="17232A"/>
          <w:sz w:val="18"/>
          <w:szCs w:val="18"/>
        </w:rPr>
        <w:t xml:space="preserve">En cas de difficulté sur un courrier</w:t>
      </w:r>
      <w:r>
        <w:rPr>
          <w:rFonts w:ascii="Cambria" w:cs="Cambria" w:eastAsia="Cambria" w:hAnsi="Cambria"/>
          <w:color w:val="17232A"/>
          <w:sz w:val="18"/>
          <w:szCs w:val="18"/>
        </w:rPr>
        <w:t xml:space="preserve"> : solliciter le responsable des services généraux.</w:t>
      </w:r>
    </w:p>
    <w:sectPr>
      <w:footerReference w:type="default" r:id="rId7"/>
      <w:pgSz w:w="11906" w:h="16838" w:orient="portrait"/>
      <w:pgMar w:top="880" w:right="1021" w:bottom="780"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BDB" w:sz="4" w:space="6"/>
      </w:pBdr>
      <w:jc w:val="right"/>
    </w:pPr>
    <w:r>
      <w:rPr>
        <w:rFonts w:ascii="Arial" w:cs="Arial" w:eastAsia="Arial" w:hAnsi="Arial"/>
        <w:color w:val="5B6C72"/>
        <w:sz w:val="13"/>
        <w:szCs w:val="13"/>
      </w:rPr>
      <w:t xml:space="preserve">Document interne          </w:t>
    </w:r>
    <w:r>
      <w:rPr>
        <w:rFonts w:ascii="Arial" w:cs="Arial" w:eastAsia="Arial" w:hAnsi="Arial"/>
        <w:color w:val="5B6C72"/>
        <w:sz w:val="13"/>
        <w:szCs w:val="13"/>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decimal"/>
      <w:lvlText w:val="%1."/>
      <w:lvlJc w:val="left"/>
      <w:pPr>
        <w:ind w:left="400" w:hanging="240"/>
      </w:pPr>
    </w:lvl>
  </w:abstractNum>
  <w:abstractNum w:abstractNumId="4"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7232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Gestion du courrier, des plis et des colis</dc:title>
  <dc:creator>Services Généraux Audika</dc:creator>
  <dc:description>Procédure interne</dc:description>
  <cp:lastModifiedBy>Un-named</cp:lastModifiedBy>
  <cp:revision>1</cp:revision>
  <dcterms:created xsi:type="dcterms:W3CDTF">2026-08-26T14:01:01.899Z</dcterms:created>
  <dcterms:modified xsi:type="dcterms:W3CDTF">2026-08-26T14:01:01.899Z</dcterms:modified>
</cp:coreProperties>
</file>

<file path=docProps/custom.xml><?xml version="1.0" encoding="utf-8"?>
<Properties xmlns="http://schemas.openxmlformats.org/officeDocument/2006/custom-properties" xmlns:vt="http://schemas.openxmlformats.org/officeDocument/2006/docPropsVTypes"/>
</file>