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</w:pPr>
      <w:r>
        <w:rPr>
          <w:rFonts w:ascii="Arial" w:cs="Arial" w:eastAsia="Arial" w:hAnsi="Arial"/>
          <w:b/>
          <w:bCs/>
          <w:color w:val="0D5C63"/>
          <w:spacing w:val="30"/>
          <w:sz w:val="15"/>
          <w:szCs w:val="15"/>
        </w:rPr>
        <w:t xml:space="preserve">PROCÉDURE INTERNE · PRO-ACH-001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17232A"/>
          <w:sz w:val="40"/>
          <w:szCs w:val="40"/>
        </w:rPr>
        <w:t xml:space="preserve">Commander sur le webshop Lyreco</w:t>
      </w:r>
    </w:p>
    <w:p>
      <w:pPr>
        <w:spacing w:after="110" w:line="250"/>
      </w:pPr>
      <w:r>
        <w:rPr>
          <w:rFonts w:ascii="Cambria" w:cs="Cambria" w:eastAsia="Cambria" w:hAnsi="Cambria"/>
          <w:i/>
          <w:iCs/>
          <w:color w:val="5B6C72"/>
          <w:sz w:val="21"/>
          <w:szCs w:val="21"/>
        </w:rPr>
        <w:t xml:space="preserve">Mode opératoire à l'usage des centres : passer une commande, la suivre, réceptionner la livraison et traiter les anomalies.</w:t>
      </w:r>
    </w:p>
    <w:p>
      <w:pPr>
        <w:pBdr>
          <w:bottom w:val="single" w:color="0D5C63" w:sz="14" w:space="7"/>
        </w:pBdr>
        <w:spacing w:after="40"/>
      </w:pP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Version </w:t>
      </w:r>
      <w:r>
        <w:rPr>
          <w:rFonts w:ascii="Arial" w:cs="Arial" w:eastAsia="Arial" w:hAnsi="Arial"/>
          <w:color w:val="5B6C72"/>
          <w:sz w:val="15"/>
          <w:szCs w:val="15"/>
        </w:rPr>
        <w:t xml:space="preserve">1.0</w:t>
      </w: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     Application </w:t>
      </w:r>
      <w:r>
        <w:rPr>
          <w:rFonts w:ascii="Arial" w:cs="Arial" w:eastAsia="Arial" w:hAnsi="Arial"/>
          <w:i/>
          <w:iCs/>
          <w:color w:val="6B4B12"/>
          <w:sz w:val="14"/>
          <w:szCs w:val="14"/>
          <w:highlight w:val="yellow"/>
          <w:highlightCs w:val="yellow"/>
        </w:rPr>
        <w:t xml:space="preserve">à compléter</w:t>
      </w: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     Diffusion </w:t>
      </w:r>
      <w:r>
        <w:rPr>
          <w:rFonts w:ascii="Arial" w:cs="Arial" w:eastAsia="Arial" w:hAnsi="Arial"/>
          <w:color w:val="5B6C72"/>
          <w:sz w:val="15"/>
          <w:szCs w:val="15"/>
        </w:rPr>
        <w:t xml:space="preserve">centres, DR, siège</w:t>
      </w: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     Révision </w:t>
      </w:r>
      <w:r>
        <w:rPr>
          <w:rFonts w:ascii="Arial" w:cs="Arial" w:eastAsia="Arial" w:hAnsi="Arial"/>
          <w:color w:val="5B6C72"/>
          <w:sz w:val="15"/>
          <w:szCs w:val="15"/>
        </w:rPr>
        <w:t xml:space="preserve">annuelle</w:t>
      </w: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     Contact </w:t>
      </w:r>
      <w:r>
        <w:rPr>
          <w:rFonts w:ascii="Arial" w:cs="Arial" w:eastAsia="Arial" w:hAnsi="Arial"/>
          <w:i/>
          <w:iCs/>
          <w:color w:val="6B4B12"/>
          <w:sz w:val="14"/>
          <w:szCs w:val="14"/>
          <w:highlight w:val="yellow"/>
          <w:highlightCs w:val="yellow"/>
        </w:rPr>
        <w:t xml:space="preserve">service achats</w:t>
      </w:r>
    </w:p>
    <w:p>
      <w:pPr>
        <w:keepNext/>
        <w:pBdr>
          <w:top w:val="single" w:color="D3DBDB" w:sz="4" w:space="8"/>
        </w:pBdr>
        <w:spacing w:after="75" w:before="18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1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Ce que couvre cette procédure</w:t>
      </w:r>
    </w:p>
    <w:p>
      <w:pPr>
        <w:spacing w:after="75" w:line="245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Tout achat de fournitures de fonctionnement passé sur le webshop Lyreco : papier, cartouches et toners, fournitures de bureau, hygiène et entretien, alimentation et réception, EPI, emballage, petit équipement de bureau.</w:t>
      </w:r>
    </w:p>
    <w:p>
      <w:pPr>
        <w:spacing w:after="75" w:line="245"/>
      </w:pP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Ne passent pas par Lyreco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: le matériel médical et audiologique, l'informatique gérée par la DSI, le mobilier et les aménagements au-delà de </w:t>
      </w:r>
      <w:r>
        <w:rPr>
          <w:rFonts w:ascii="Arial" w:cs="Arial" w:eastAsia="Arial" w:hAnsi="Arial"/>
          <w:i/>
          <w:iCs/>
          <w:color w:val="6B4B12"/>
          <w:sz w:val="17"/>
          <w:szCs w:val="17"/>
          <w:highlight w:val="yellow"/>
          <w:highlightCs w:val="yellow"/>
        </w:rPr>
        <w:t xml:space="preserve">seuil à compléter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. Ces demandes sont adressées au service achats.</w:t>
      </w:r>
    </w:p>
    <w:p>
      <w:pPr>
        <w:keepNext/>
        <w:pBdr>
          <w:top w:val="single" w:color="D3DBDB" w:sz="4" w:space="8"/>
        </w:pBdr>
        <w:spacing w:after="75" w:before="18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2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Les six règles à respecter</w:t>
      </w:r>
    </w:p>
    <w:p>
      <w:pPr>
        <w:spacing w:after="55" w:line="240"/>
        <w:ind w:left="520" w:hanging="520"/>
      </w:pPr>
      <w:r>
        <w:rPr>
          <w:rFonts w:ascii="Arial" w:cs="Arial" w:eastAsia="Arial" w:hAnsi="Arial"/>
          <w:b/>
          <w:bCs/>
          <w:color w:val="0D5C63"/>
          <w:sz w:val="17"/>
          <w:szCs w:val="17"/>
        </w:rPr>
        <w:t xml:space="preserve">R1   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Regrouper les besoins du centre :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une commande par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</w:t>
      </w:r>
      <w:r>
        <w:rPr>
          <w:rFonts w:ascii="Arial" w:cs="Arial" w:eastAsia="Arial" w:hAnsi="Arial"/>
          <w:i/>
          <w:iCs/>
          <w:color w:val="6B4B12"/>
          <w:sz w:val="17"/>
          <w:szCs w:val="17"/>
          <w:highlight w:val="yellow"/>
          <w:highlightCs w:val="yellow"/>
        </w:rPr>
        <w:t xml:space="preserve">période à compléter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, hors urgence justifiée.</w:t>
      </w:r>
    </w:p>
    <w:p>
      <w:pPr>
        <w:spacing w:after="55" w:line="240"/>
        <w:ind w:left="520" w:hanging="520"/>
      </w:pPr>
      <w:r>
        <w:rPr>
          <w:rFonts w:ascii="Arial" w:cs="Arial" w:eastAsia="Arial" w:hAnsi="Arial"/>
          <w:b/>
          <w:bCs/>
          <w:color w:val="0D5C63"/>
          <w:sz w:val="17"/>
          <w:szCs w:val="17"/>
        </w:rPr>
        <w:t xml:space="preserve">R2  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75 € HT minimum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par commande : c'est le seuil de la livraison gratuite. En dessous, des frais de port sont facturés.</w:t>
      </w:r>
    </w:p>
    <w:p>
      <w:pPr>
        <w:spacing w:after="55" w:line="240"/>
        <w:ind w:left="520" w:hanging="520"/>
      </w:pPr>
      <w:r>
        <w:rPr>
          <w:rFonts w:ascii="Arial" w:cs="Arial" w:eastAsia="Arial" w:hAnsi="Arial"/>
          <w:b/>
          <w:bCs/>
          <w:color w:val="0D5C63"/>
          <w:sz w:val="17"/>
          <w:szCs w:val="17"/>
        </w:rPr>
        <w:t xml:space="preserve">R3   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Commander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dans le mini-catalogue et les listes de favoris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, qui contiennent les produits négociés. Besoin hors catalogue : passer par le service achats.</w:t>
      </w:r>
    </w:p>
    <w:p>
      <w:pPr>
        <w:spacing w:after="55" w:line="240"/>
        <w:ind w:left="520" w:hanging="520"/>
      </w:pPr>
      <w:r>
        <w:rPr>
          <w:rFonts w:ascii="Arial" w:cs="Arial" w:eastAsia="Arial" w:hAnsi="Arial"/>
          <w:b/>
          <w:bCs/>
          <w:color w:val="0D5C63"/>
          <w:sz w:val="17"/>
          <w:szCs w:val="17"/>
        </w:rPr>
        <w:t xml:space="preserve">R4  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Vérifier le compte actif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avant de remplir le panier : il détermine l'adresse de livraison et l'imputation de la dépense.</w:t>
      </w:r>
    </w:p>
    <w:p>
      <w:pPr>
        <w:spacing w:after="55" w:line="240"/>
        <w:ind w:left="520" w:hanging="520"/>
      </w:pPr>
      <w:r>
        <w:rPr>
          <w:rFonts w:ascii="Arial" w:cs="Arial" w:eastAsia="Arial" w:hAnsi="Arial"/>
          <w:b/>
          <w:bCs/>
          <w:color w:val="0D5C63"/>
          <w:sz w:val="17"/>
          <w:szCs w:val="17"/>
        </w:rPr>
        <w:t xml:space="preserve">R5   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Renseigner la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référence interne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, le nom du contact et un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téléphone joignable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au moment de valider.</w:t>
      </w:r>
    </w:p>
    <w:p>
      <w:pPr>
        <w:spacing w:after="55" w:line="240"/>
        <w:ind w:left="520" w:hanging="520"/>
      </w:pPr>
      <w:r>
        <w:rPr>
          <w:rFonts w:ascii="Arial" w:cs="Arial" w:eastAsia="Arial" w:hAnsi="Arial"/>
          <w:b/>
          <w:bCs/>
          <w:color w:val="0D5C63"/>
          <w:sz w:val="17"/>
          <w:szCs w:val="17"/>
        </w:rPr>
        <w:t xml:space="preserve">R6   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Signaler toute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anomalie de livraison sous 48 heures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, réserves portées sur le bon de livraison.</w:t>
      </w:r>
    </w:p>
    <w:p>
      <w:pPr>
        <w:spacing w:after="100" w:line="245"/>
      </w:pPr>
      <w:r>
        <w:rPr>
          <w:rFonts w:ascii="Cambria" w:cs="Cambria" w:eastAsia="Cambria" w:hAnsi="Cambria"/>
          <w:color w:val="5B6C72"/>
          <w:sz w:val="16"/>
          <w:szCs w:val="16"/>
        </w:rPr>
        <w:t xml:space="preserve">Le webshop est réservé à un usage professionnel. Les identifiants sont personnels et ne se partagent pas : chaque commande est nominative.</w:t>
      </w:r>
    </w:p>
    <w:p>
      <w:pPr>
        <w:keepNext/>
        <w:pBdr>
          <w:top w:val="single" w:color="D3DBDB" w:sz="4" w:space="8"/>
        </w:pBdr>
        <w:spacing w:after="75" w:before="18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3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Se connecter et choisir le bon compte</w:t>
      </w:r>
    </w:p>
    <w:p>
      <w:pPr>
        <w:spacing w:after="75" w:line="245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Connectez-vous sur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www.lyreco.com/webshop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, espace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Utilisateur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. L'identifiant est votre numéro de compte suivi de vos initiales, par exemple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4765875XY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. Mot de passe oublié : lien de réinitialisation sur la page de connexion.</w:t>
      </w:r>
    </w:p>
    <w:p>
      <w:pPr>
        <w:spacing w:after="75" w:line="245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Le bandeau en haut de l'écran affiche le compte actif :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Compte : 4765875 · AUDIKA · C0092 · 21000 DIJON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. Vérifiez qu'il correspond bien au centre à livrer. Pour en changer :</w:t>
      </w:r>
    </w:p>
    <w:p>
      <w:pPr>
        <w:pStyle w:val="ListParagraph"/>
        <w:numPr>
          <w:ilvl w:val="0"/>
          <w:numId w:val="2"/>
        </w:numPr>
        <w:spacing w:after="45" w:line="25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Cliquer sur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Changer de compte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5" w:line="25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Déplier la hiérarchie, ou saisir le numéro dans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Chercher un numéro de compte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puis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Chercher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5" w:line="25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Sur la ligne du centre —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affichée en bleu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— cliquer sur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Sélectionner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, puis contrôler le bandeau.</w:t>
      </w:r>
    </w:p>
    <w:p>
      <w:pPr>
        <w:spacing w:after="75" w:line="245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Dans la hiérarchie, les libellés en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noir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sont des niveaux d'organisation (administrateur, siège, réseau, direction régionale) : ils ne reçoivent pas de livraison. Seuls les libellés en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bleu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sont des adresses de livraison et peuvent commander.</w:t>
      </w:r>
    </w:p>
    <w:tbl>
      <w:tblPr>
        <w:tblW w:type="dxa" w:w="9864"/>
        <w:tblBorders>
          <w:top w:val="none"/>
          <w:left w:val="single" w:color="94322B" w:sz="18"/>
          <w:bottom w:val="none"/>
          <w:right w:val="none"/>
          <w:insideH w:val="none"/>
          <w:insideV w:val="none"/>
        </w:tblBorders>
      </w:tblPr>
      <w:tblGrid>
        <w:gridCol w:w="9864"/>
      </w:tblGrid>
      <w:tr>
        <w:tc>
          <w:tcPr>
            <w:tcW w:type="dxa" w:w="9864"/>
            <w:shd w:fill="F8E7E4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94322B"/>
                <w:spacing w:val="25"/>
                <w:sz w:val="13"/>
                <w:szCs w:val="13"/>
              </w:rPr>
              <w:t xml:space="preserve">MESSAGE BLOQUANT</w:t>
            </w:r>
          </w:p>
          <w:p>
            <w:pPr>
              <w:spacing w:after="0" w:line="235"/>
            </w:pPr>
            <w:r>
              <w:rPr>
                <w:rFonts w:ascii="Cambria" w:cs="Cambria" w:eastAsia="Cambria" w:hAnsi="Cambria"/>
                <w:color w:val="17232A"/>
                <w:sz w:val="17"/>
                <w:szCs w:val="17"/>
              </w:rPr>
              <w:t xml:space="preserve">« Vous êtes connecté sur un compte qui ne peut pas commander » : vous êtes sur un niveau d'organisation, pas sur un centre. Ce n'est pas une panne — basculez via </w:t>
            </w:r>
            <w:r>
              <w:rPr>
                <w:rFonts w:ascii="Consolas" w:cs="Consolas" w:eastAsia="Consolas" w:hAnsi="Consolas"/>
                <w:color w:val="0D5C63"/>
                <w:sz w:val="15"/>
                <w:szCs w:val="15"/>
                <w:shd w:fill="EDF2F1" w:color="auto" w:val="clear"/>
              </w:rPr>
              <w:t xml:space="preserve">Changer de compte</w:t>
            </w:r>
            <w:r>
              <w:rPr>
                <w:rFonts w:ascii="Cambria" w:cs="Cambria" w:eastAsia="Cambria" w:hAnsi="Cambria"/>
                <w:color w:val="17232A"/>
                <w:sz w:val="17"/>
                <w:szCs w:val="17"/>
              </w:rPr>
              <w:t xml:space="preserve">.</w:t>
            </w:r>
          </w:p>
        </w:tc>
      </w:tr>
    </w:tbl>
    <w:p>
      <w:pPr>
        <w:spacing w:after="70"/>
      </w:pPr>
    </w:p>
    <w:tbl>
      <w:tblPr>
        <w:tblW w:type="dxa" w:w="9864"/>
        <w:tblBorders>
          <w:top w:val="none"/>
          <w:left w:val="single" w:color="8A5A12" w:sz="18"/>
          <w:bottom w:val="none"/>
          <w:right w:val="none"/>
          <w:insideH w:val="none"/>
          <w:insideV w:val="none"/>
        </w:tblBorders>
      </w:tblPr>
      <w:tblGrid>
        <w:gridCol w:w="9864"/>
      </w:tblGrid>
      <w:tr>
        <w:tc>
          <w:tcPr>
            <w:tcW w:type="dxa" w:w="9864"/>
            <w:shd w:fill="F7EED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8A5A12"/>
                <w:spacing w:val="25"/>
                <w:sz w:val="13"/>
                <w:szCs w:val="13"/>
              </w:rPr>
              <w:t xml:space="preserve">POINT DE VIGILANCE</w:t>
            </w:r>
          </w:p>
          <w:p>
            <w:pPr>
              <w:spacing w:after="0" w:line="235"/>
            </w:pPr>
            <w:r>
              <w:rPr>
                <w:rFonts w:ascii="Cambria" w:cs="Cambria" w:eastAsia="Cambria" w:hAnsi="Cambria"/>
                <w:color w:val="17232A"/>
                <w:sz w:val="17"/>
                <w:szCs w:val="17"/>
              </w:rPr>
              <w:t xml:space="preserve">Changer de compte en cours de commande vide ou recalcule le panier : tarifs, catalogue et budgets sont propres à chaque compte. Choisissez le compte </w:t>
            </w:r>
            <w:r>
              <w:rPr>
                <w:rFonts w:ascii="Cambria" w:cs="Cambria" w:eastAsia="Cambria" w:hAnsi="Cambria"/>
                <w:i/>
                <w:iCs/>
                <w:color w:val="17232A"/>
                <w:sz w:val="17"/>
                <w:szCs w:val="17"/>
              </w:rPr>
              <w:t xml:space="preserve">avant</w:t>
            </w:r>
            <w:r>
              <w:rPr>
                <w:rFonts w:ascii="Cambria" w:cs="Cambria" w:eastAsia="Cambria" w:hAnsi="Cambria"/>
                <w:color w:val="17232A"/>
                <w:sz w:val="17"/>
                <w:szCs w:val="17"/>
              </w:rPr>
              <w:t xml:space="preserve"> de remplir le panier.</w:t>
            </w:r>
          </w:p>
        </w:tc>
      </w:tr>
    </w:tbl>
    <w:p>
      <w:pPr>
        <w:keepNext/>
        <w:pBdr>
          <w:top w:val="single" w:color="D3DBDB" w:sz="4" w:space="8"/>
        </w:pBdr>
        <w:spacing w:after="75" w:before="18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4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Constituer le panier</w:t>
      </w:r>
    </w:p>
    <w:p>
      <w:pPr>
        <w:keepNext/>
        <w:spacing w:after="45" w:before="100"/>
      </w:pPr>
      <w:r>
        <w:rPr>
          <w:rFonts w:ascii="Arial" w:cs="Arial" w:eastAsia="Arial" w:hAnsi="Arial"/>
          <w:b/>
          <w:bCs/>
          <w:color w:val="17232A"/>
          <w:sz w:val="18"/>
          <w:szCs w:val="18"/>
        </w:rPr>
        <w:t xml:space="preserve">a. Listes de favoris — voie à privilégier</w:t>
      </w:r>
    </w:p>
    <w:p>
      <w:pPr>
        <w:spacing w:after="75" w:line="245"/>
      </w:pP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Mes favoris › Produits préférés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: les listes partagées du réseau contiennent les produits validés par le siège. Ouvrez la liste, saisissez les quantités, ajoutez au panier.</w:t>
      </w:r>
    </w:p>
    <w:p>
      <w:pPr>
        <w:keepNext/>
        <w:spacing w:after="45" w:before="100"/>
      </w:pPr>
      <w:r>
        <w:rPr>
          <w:rFonts w:ascii="Arial" w:cs="Arial" w:eastAsia="Arial" w:hAnsi="Arial"/>
          <w:b/>
          <w:bCs/>
          <w:color w:val="17232A"/>
          <w:sz w:val="18"/>
          <w:szCs w:val="18"/>
        </w:rPr>
        <w:t xml:space="preserve">b. Commande rapide — pour un réassort connu</w:t>
      </w:r>
    </w:p>
    <w:p>
      <w:pPr>
        <w:spacing w:after="75" w:line="245"/>
      </w:pP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Commande rapide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(icône chronomètre à droite de la barre de recherche) :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Via les références produits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pour saisir directement les références et les quantités, ou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Via un fichier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pour importer un fichier Excel/CSV.</w:t>
      </w:r>
    </w:p>
    <w:p>
      <w:pPr>
        <w:keepNext/>
        <w:spacing w:after="45" w:before="100"/>
      </w:pPr>
      <w:r>
        <w:rPr>
          <w:rFonts w:ascii="Arial" w:cs="Arial" w:eastAsia="Arial" w:hAnsi="Arial"/>
          <w:b/>
          <w:bCs/>
          <w:color w:val="17232A"/>
          <w:sz w:val="18"/>
          <w:szCs w:val="18"/>
        </w:rPr>
        <w:t xml:space="preserve">c. Catalogue et recherche</w:t>
      </w:r>
    </w:p>
    <w:p>
      <w:pPr>
        <w:spacing w:after="75" w:line="245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Recherche par mot-clé ou par référence. Pour les consommables d'impression, l'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Outil de recherche de cartouche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donne la référence exacte à partir du modèle d'imprimante. Une commande passée peut être rejouée depuis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Mon historique de commande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.</w:t>
      </w:r>
    </w:p>
    <w:p>
      <w:pPr>
        <w:spacing w:after="75" w:line="245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Un panier peut être préparé puis repris plus tard :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Mettre la commande en attente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, avec un titre explicite (</w:t>
      </w:r>
      <w:r>
        <w:rPr>
          <w:rFonts w:ascii="Cambria" w:cs="Cambria" w:eastAsia="Cambria" w:hAnsi="Cambria"/>
          <w:i/>
          <w:iCs/>
          <w:color w:val="17232A"/>
          <w:sz w:val="18"/>
          <w:szCs w:val="18"/>
        </w:rPr>
        <w:t xml:space="preserve">C0092 – réappro mars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). Utilisez-le pendant la collecte des besoins du centre plutôt que de multiplier les petites commandes.</w:t>
      </w:r>
    </w:p>
    <w:tbl>
      <w:tblPr>
        <w:tblW w:type="dxa" w:w="9864"/>
        <w:tblBorders>
          <w:top w:val="none"/>
          <w:left w:val="single" w:color="8A5A12" w:sz="18"/>
          <w:bottom w:val="none"/>
          <w:right w:val="none"/>
          <w:insideH w:val="none"/>
          <w:insideV w:val="none"/>
        </w:tblBorders>
      </w:tblPr>
      <w:tblGrid>
        <w:gridCol w:w="9864"/>
      </w:tblGrid>
      <w:tr>
        <w:tc>
          <w:tcPr>
            <w:tcW w:type="dxa" w:w="9864"/>
            <w:shd w:fill="F7EEDE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8A5A12"/>
                <w:spacing w:val="25"/>
                <w:sz w:val="13"/>
                <w:szCs w:val="13"/>
              </w:rPr>
              <w:t xml:space="preserve">POINT DE VIGILANCE</w:t>
            </w:r>
          </w:p>
          <w:p>
            <w:pPr>
              <w:spacing w:after="0" w:line="235"/>
            </w:pPr>
            <w:r>
              <w:rPr>
                <w:rFonts w:ascii="Cambria" w:cs="Cambria" w:eastAsia="Cambria" w:hAnsi="Cambria"/>
                <w:color w:val="17232A"/>
                <w:sz w:val="17"/>
                <w:szCs w:val="17"/>
              </w:rPr>
              <w:t xml:space="preserve">Contrôlez l'</w:t>
            </w:r>
            <w:r>
              <w:rPr>
                <w:rFonts w:ascii="Cambria" w:cs="Cambria" w:eastAsia="Cambria" w:hAnsi="Cambria"/>
                <w:b/>
                <w:bCs/>
                <w:color w:val="17232A"/>
                <w:sz w:val="17"/>
                <w:szCs w:val="17"/>
              </w:rPr>
              <w:t xml:space="preserve">unité de vente</w:t>
            </w:r>
            <w:r>
              <w:rPr>
                <w:rFonts w:ascii="Cambria" w:cs="Cambria" w:eastAsia="Cambria" w:hAnsi="Cambria"/>
                <w:color w:val="17232A"/>
                <w:sz w:val="17"/>
                <w:szCs w:val="17"/>
              </w:rPr>
              <w:t xml:space="preserve"> : boîte de 100, lot de 12, carton de 5 ramettes. La quantité saisie porte sur le conditionnement affiché, pas sur l'unité. C'est la première cause de sur-commande.</w:t>
            </w:r>
          </w:p>
        </w:tc>
      </w:tr>
    </w:tbl>
    <w:p>
      <w:pPr>
        <w:keepNext/>
        <w:pBdr>
          <w:top w:val="single" w:color="D3DBDB" w:sz="4" w:space="8"/>
        </w:pBdr>
        <w:spacing w:after="75" w:before="18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5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Valider la commande</w:t>
      </w:r>
    </w:p>
    <w:p>
      <w:pPr>
        <w:pStyle w:val="ListParagraph"/>
        <w:numPr>
          <w:ilvl w:val="0"/>
          <w:numId w:val="3"/>
        </w:numPr>
        <w:spacing w:after="45" w:line="25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Dans le panier :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Afficher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, puis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Voir mes offres et valider ma commande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5" w:line="250"/>
      </w:pP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Suivant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pour accéder aux informations de livraison : adresse, nom du contact du centre, téléphone joignable par le chauffeur.</w:t>
      </w:r>
    </w:p>
    <w:p>
      <w:pPr>
        <w:pStyle w:val="ListParagraph"/>
        <w:numPr>
          <w:ilvl w:val="0"/>
          <w:numId w:val="3"/>
        </w:numPr>
        <w:spacing w:after="45" w:line="25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Renseigner la référence interne, puis confirmer. Un e-mail de confirmation vous parvient avec le numéro de commande et la date de livraison estimée.</w:t>
      </w:r>
    </w:p>
    <w:p>
      <w:pPr>
        <w:spacing w:after="75" w:line="245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Commande validée avant 18 h : livraison le lendemain dans 99 % des cas.</w:t>
      </w:r>
    </w:p>
    <w:p>
      <w:pPr>
        <w:spacing w:after="75" w:line="245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Si le message «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reçu, en attente de validation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» s'affiche, la commande n'est pas encore partie chez Lyreco : elle attend votre valideur, qui reçoit un e-mail et peut la valider, la modifier ou la refuser. Ce contrôle se déclenche en cas de dépassement de budget, de produit signalé comme </w:t>
      </w:r>
      <w:r>
        <w:rPr>
          <w:rFonts w:ascii="Cambria" w:cs="Cambria" w:eastAsia="Cambria" w:hAnsi="Cambria"/>
          <w:i/>
          <w:iCs/>
          <w:color w:val="17232A"/>
          <w:sz w:val="18"/>
          <w:szCs w:val="18"/>
        </w:rPr>
        <w:t xml:space="preserve">contrôlé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, ou selon votre profil. Délai de traitement attendu : </w:t>
      </w:r>
      <w:r>
        <w:rPr>
          <w:rFonts w:ascii="Arial" w:cs="Arial" w:eastAsia="Arial" w:hAnsi="Arial"/>
          <w:i/>
          <w:iCs/>
          <w:color w:val="6B4B12"/>
          <w:sz w:val="17"/>
          <w:szCs w:val="17"/>
          <w:highlight w:val="yellow"/>
          <w:highlightCs w:val="yellow"/>
        </w:rPr>
        <w:t xml:space="preserve">à compléter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— au-delà, relancez votre valideur.</w:t>
      </w:r>
    </w:p>
    <w:p>
      <w:pPr>
        <w:keepNext/>
        <w:pBdr>
          <w:top w:val="single" w:color="D3DBDB" w:sz="4" w:space="8"/>
        </w:pBdr>
        <w:spacing w:after="75" w:before="18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6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Suivre la commande</w:t>
      </w:r>
    </w:p>
    <w:p>
      <w:pPr>
        <w:spacing w:after="75" w:line="245"/>
      </w:pP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Commandes en cours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affiche les commandes transmises et celles en attente de validation ;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Mon historique de commande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permet de rechercher par numéro, date ou produit. Le lien de suivi figure dans l'e-mail de confirmation.</w:t>
      </w:r>
    </w:p>
    <w:p>
      <w:pPr>
        <w:spacing w:after="75" w:line="245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Une modification ou une annulation doit être demandée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immédiatement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au Service Clients Lyreco. Une fois la préparation lancée, elle relève d'un retour.</w:t>
      </w:r>
    </w:p>
    <w:p>
      <w:pPr>
        <w:keepNext/>
        <w:pBdr>
          <w:top w:val="single" w:color="D3DBDB" w:sz="4" w:space="8"/>
        </w:pBdr>
        <w:spacing w:after="75" w:before="18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7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Réceptionner la livraison</w:t>
      </w:r>
    </w:p>
    <w:p>
      <w:pPr>
        <w:pStyle w:val="ListParagraph"/>
        <w:numPr>
          <w:ilvl w:val="0"/>
          <w:numId w:val="4"/>
        </w:numPr>
        <w:spacing w:after="45" w:line="250"/>
      </w:pP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Avant de signer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: compter les colis et comparer avec le bon de livraison (BL).</w:t>
      </w:r>
    </w:p>
    <w:p>
      <w:pPr>
        <w:pStyle w:val="ListParagraph"/>
        <w:numPr>
          <w:ilvl w:val="0"/>
          <w:numId w:val="4"/>
        </w:numPr>
        <w:spacing w:after="45" w:line="250"/>
      </w:pP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Colis abîmé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: le refuser, ou porter une réserve écrite </w:t>
      </w:r>
      <w:r>
        <w:rPr>
          <w:rFonts w:ascii="Cambria" w:cs="Cambria" w:eastAsia="Cambria" w:hAnsi="Cambria"/>
          <w:i/>
          <w:iCs/>
          <w:color w:val="17232A"/>
          <w:sz w:val="18"/>
          <w:szCs w:val="18"/>
        </w:rPr>
        <w:t xml:space="preserve">précise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sur le BL — « carton n° 2 éventré, contenu à vérifier ». La mention « sous réserve de déballage » n'a aucune valeur.</w:t>
      </w:r>
    </w:p>
    <w:p>
      <w:pPr>
        <w:pStyle w:val="ListParagraph"/>
        <w:numPr>
          <w:ilvl w:val="0"/>
          <w:numId w:val="4"/>
        </w:numPr>
        <w:spacing w:after="45" w:line="250"/>
      </w:pP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Après déballage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: contrôler références et quantités ligne à ligne, photographier tout produit manquant, cassé ou non conforme.</w:t>
      </w:r>
    </w:p>
    <w:p>
      <w:pPr>
        <w:pStyle w:val="ListParagraph"/>
        <w:numPr>
          <w:ilvl w:val="0"/>
          <w:numId w:val="4"/>
        </w:numPr>
        <w:spacing w:after="45" w:line="250"/>
      </w:pP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Livraison sans contact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: pas de signature, la preuve est une photo du lieu de dépose et le nom du réceptionnaire.</w:t>
      </w:r>
    </w:p>
    <w:p>
      <w:pPr>
        <w:pStyle w:val="ListParagraph"/>
        <w:numPr>
          <w:ilvl w:val="0"/>
          <w:numId w:val="4"/>
        </w:numPr>
        <w:spacing w:after="45" w:line="250"/>
      </w:pP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Conserver le BL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: il est exigé pour toute réclamation et tout retour.</w:t>
      </w:r>
    </w:p>
    <w:p>
      <w:pPr>
        <w:keepNext/>
        <w:pBdr>
          <w:top w:val="single" w:color="D3DBDB" w:sz="4" w:space="8"/>
        </w:pBdr>
        <w:spacing w:after="75" w:before="18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8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Anomalies et retours</w:t>
      </w:r>
    </w:p>
    <w:tbl>
      <w:tblPr>
        <w:tblW w:type="dxa" w:w="9864"/>
        <w:tblBorders>
          <w:top w:val="single" w:color="D3DBDB" w:sz="4"/>
          <w:left w:val="single" w:color="D3DBDB" w:sz="4"/>
          <w:bottom w:val="single" w:color="D3DBDB" w:sz="4"/>
          <w:right w:val="single" w:color="D3DBDB" w:sz="4"/>
          <w:insideH w:val="single" w:color="D3DBDB" w:sz="4"/>
          <w:insideV w:val="single" w:color="D3DBDB" w:sz="4"/>
        </w:tblBorders>
      </w:tblPr>
      <w:tblGrid>
        <w:gridCol w:w="2910"/>
        <w:gridCol w:w="5376"/>
        <w:gridCol w:w="1578"/>
      </w:tblGrid>
      <w:tr>
        <w:trPr>
          <w:tblHeader/>
        </w:trPr>
        <w:tc>
          <w:tcPr>
            <w:tcW w:type="dxa" w:w="2910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Situation</w:t>
            </w:r>
          </w:p>
        </w:tc>
        <w:tc>
          <w:tcPr>
            <w:tcW w:type="dxa" w:w="5376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Ce que vous faites</w:t>
            </w:r>
          </w:p>
        </w:tc>
        <w:tc>
          <w:tcPr>
            <w:tcW w:type="dxa" w:w="1578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Délai</w:t>
            </w:r>
          </w:p>
        </w:tc>
      </w:tr>
      <w:tr>
        <w:tc>
          <w:tcPr>
            <w:tcW w:type="dxa" w:w="29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Produit manquant, colis non livré</w:t>
            </w:r>
          </w:p>
        </w:tc>
        <w:tc>
          <w:tcPr>
            <w:tcW w:type="dxa" w:w="5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Réserve sur le BL, puis appel au Service Clients avec le n° de commande et le n° de BL</w:t>
            </w:r>
          </w:p>
        </w:tc>
        <w:tc>
          <w:tcPr>
            <w:tcW w:type="dxa" w:w="1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48 h</w:t>
            </w:r>
          </w:p>
        </w:tc>
      </w:tr>
      <w:tr>
        <w:tc>
          <w:tcPr>
            <w:tcW w:type="dxa" w:w="29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Produit cassé ou détérioré</w:t>
            </w:r>
          </w:p>
        </w:tc>
        <w:tc>
          <w:tcPr>
            <w:tcW w:type="dxa" w:w="5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Photos, conservation de l'emballage, déclaration</w:t>
            </w:r>
          </w:p>
        </w:tc>
        <w:tc>
          <w:tcPr>
            <w:tcW w:type="dxa" w:w="1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48 h</w:t>
            </w:r>
          </w:p>
        </w:tc>
      </w:tr>
      <w:tr>
        <w:tc>
          <w:tcPr>
            <w:tcW w:type="dxa" w:w="29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Erreur de référence livrée</w:t>
            </w:r>
          </w:p>
        </w:tc>
        <w:tc>
          <w:tcPr>
            <w:tcW w:type="dxa" w:w="5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Demande d'échange : reprise par un chauffeur Lyreco</w:t>
            </w:r>
          </w:p>
        </w:tc>
        <w:tc>
          <w:tcPr>
            <w:tcW w:type="dxa" w:w="1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48 h</w:t>
            </w:r>
          </w:p>
        </w:tc>
      </w:tr>
      <w:tr>
        <w:tc>
          <w:tcPr>
            <w:tcW w:type="dxa" w:w="29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Produit inutile ou erreur de saisie</w:t>
            </w:r>
          </w:p>
        </w:tc>
        <w:tc>
          <w:tcPr>
            <w:tcW w:type="dxa" w:w="5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Demande de reprise : produit non utilisé, non marqué, emballage d'origine intact, copie du BL jointe</w:t>
            </w:r>
          </w:p>
        </w:tc>
        <w:tc>
          <w:tcPr>
            <w:tcW w:type="dxa" w:w="1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30 jours</w:t>
            </w:r>
          </w:p>
        </w:tc>
      </w:tr>
      <w:tr>
        <w:tc>
          <w:tcPr>
            <w:tcW w:type="dxa" w:w="29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Écart sur la facture</w:t>
            </w:r>
          </w:p>
        </w:tc>
        <w:tc>
          <w:tcPr>
            <w:tcW w:type="dxa" w:w="53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Rapprochement facture / BL / commande, puis demande d'avoir</w:t>
            </w:r>
          </w:p>
        </w:tc>
        <w:tc>
          <w:tcPr>
            <w:tcW w:type="dxa" w:w="1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À réception</w:t>
            </w:r>
          </w:p>
        </w:tc>
      </w:tr>
    </w:tbl>
    <w:p>
      <w:pPr>
        <w:spacing w:after="80"/>
      </w:pPr>
    </w:p>
    <w:p>
      <w:pPr>
        <w:spacing w:after="75" w:line="245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La reprise est gratuite dans les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30 jours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suivant la livraison. Passé ce délai, aucun retour ni avoir n'est possible. Certains produits ne sont pas retournables : articles personnalisés, denrées alimentaires, produits d'hygiène ouverts.</w:t>
      </w:r>
    </w:p>
    <w:p>
      <w:pPr>
        <w:keepNext/>
        <w:pBdr>
          <w:top w:val="single" w:color="D3DBDB" w:sz="4" w:space="8"/>
        </w:pBdr>
        <w:spacing w:after="75" w:before="18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9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Retrouver vos documents</w:t>
      </w:r>
    </w:p>
    <w:p>
      <w:pPr>
        <w:spacing w:after="75" w:line="245"/>
      </w:pP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Mon Espace › Mes documents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donne accès aux bons de livraison, aux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BL émargés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(preuve de réception), aux factures et avoirs, et à la liste de prix. Recherchez par numéro de livraison, de commande ou par période, sélectionnez les documents puis cliquez sur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Demande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: ils arrivent en PDF par e-mail. Les BL émargés sont aussi accessibles depuis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Mon historique de commande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, en ouvrant la commande puis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Voir les BL émargés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.</w:t>
      </w:r>
    </w:p>
    <w:p>
      <w:pPr>
        <w:keepNext/>
        <w:pBdr>
          <w:top w:val="single" w:color="D3DBDB" w:sz="4" w:space="8"/>
        </w:pBdr>
        <w:spacing w:after="75" w:before="18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10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Que faire si…</w:t>
      </w:r>
    </w:p>
    <w:tbl>
      <w:tblPr>
        <w:tblW w:type="dxa" w:w="9864"/>
        <w:tblBorders>
          <w:top w:val="single" w:color="D3DBDB" w:sz="4"/>
          <w:left w:val="single" w:color="D3DBDB" w:sz="4"/>
          <w:bottom w:val="single" w:color="D3DBDB" w:sz="4"/>
          <w:right w:val="single" w:color="D3DBDB" w:sz="4"/>
          <w:insideH w:val="single" w:color="D3DBDB" w:sz="4"/>
          <w:insideV w:val="single" w:color="D3DBDB" w:sz="4"/>
        </w:tblBorders>
      </w:tblPr>
      <w:tblGrid>
        <w:gridCol w:w="3009"/>
        <w:gridCol w:w="3009"/>
        <w:gridCol w:w="3846"/>
      </w:tblGrid>
      <w:tr>
        <w:trPr>
          <w:tblHeader/>
        </w:trPr>
        <w:tc>
          <w:tcPr>
            <w:tcW w:type="dxa" w:w="3009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Symptôme</w:t>
            </w:r>
          </w:p>
        </w:tc>
        <w:tc>
          <w:tcPr>
            <w:tcW w:type="dxa" w:w="3009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Cause</w:t>
            </w:r>
          </w:p>
        </w:tc>
        <w:tc>
          <w:tcPr>
            <w:tcW w:type="dxa" w:w="3846"/>
            <w:shd w:fill="EEF2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aps/>
                <w:color w:val="5B6C72"/>
                <w:spacing w:val="20"/>
                <w:sz w:val="13"/>
                <w:szCs w:val="13"/>
              </w:rPr>
              <w:t xml:space="preserve">Solution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Les prix ne s'affichent pas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Compte positionné sur un niveau d'organisation</w:t>
            </w:r>
          </w:p>
        </w:tc>
        <w:tc>
          <w:tcPr>
            <w:tcW w:type="dxa" w:w="38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onsolas" w:cs="Consolas" w:eastAsia="Consolas" w:hAnsi="Consolas"/>
                <w:color w:val="0D5C63"/>
                <w:sz w:val="15"/>
                <w:szCs w:val="15"/>
                <w:shd w:fill="EDF2F1" w:color="auto" w:val="clear"/>
              </w:rPr>
              <w:t xml:space="preserve">Changer de compte</w:t>
            </w: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 vers le centre (ligne bleue)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Alerte budget à la validation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Montant supérieur au budget du compte</w:t>
            </w:r>
          </w:p>
        </w:tc>
        <w:tc>
          <w:tcPr>
            <w:tcW w:type="dxa" w:w="38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Réduire le panier ou justifier auprès du valideur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Un produit connu est introuvable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Article hors mini-catalogue</w:t>
            </w:r>
          </w:p>
        </w:tc>
        <w:tc>
          <w:tcPr>
            <w:tcW w:type="dxa" w:w="38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Demande au service achats, sans contourner par une référence approchante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La commande reste en attente de validation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Valideur non intervenu</w:t>
            </w:r>
          </w:p>
        </w:tc>
        <w:tc>
          <w:tcPr>
            <w:tcW w:type="dxa" w:w="38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Le relancer : rien n'est parti chez Lyreco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Livraison arrivée dans un autre centre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Mauvais compte actif à la validation</w:t>
            </w:r>
          </w:p>
        </w:tc>
        <w:tc>
          <w:tcPr>
            <w:tcW w:type="dxa" w:w="38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Prévenir les deux centres et le service achats (règle R4)</w:t>
            </w:r>
          </w:p>
        </w:tc>
      </w:tr>
      <w:tr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Panier vidé après un changement de compte</w:t>
            </w:r>
          </w:p>
        </w:tc>
        <w:tc>
          <w:tcPr>
            <w:tcW w:type="dxa" w:w="300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Le panier est propre à chaque compte</w:t>
            </w:r>
          </w:p>
        </w:tc>
        <w:tc>
          <w:tcPr>
            <w:tcW w:type="dxa" w:w="38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Choisir le compte d'abord, utiliser la mise en attente</w:t>
            </w:r>
          </w:p>
        </w:tc>
      </w:tr>
    </w:tbl>
    <w:p>
      <w:pPr>
        <w:keepNext/>
        <w:pBdr>
          <w:top w:val="single" w:color="D3DBDB" w:sz="4" w:space="8"/>
        </w:pBdr>
        <w:spacing w:after="75" w:before="18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11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Qui contacter</w:t>
      </w:r>
    </w:p>
    <w:tbl>
      <w:tblPr>
        <w:tblW w:type="dxa" w:w="9864"/>
        <w:tblBorders>
          <w:top w:val="single" w:color="D3DBDB" w:sz="4"/>
          <w:left w:val="single" w:color="D3DBDB" w:sz="4"/>
          <w:bottom w:val="single" w:color="D3DBDB" w:sz="4"/>
          <w:right w:val="single" w:color="D3DBDB" w:sz="4"/>
          <w:insideH w:val="single" w:color="D3DBDB" w:sz="4"/>
          <w:insideV w:val="single" w:color="D3DBDB" w:sz="4"/>
        </w:tblBorders>
      </w:tblPr>
      <w:tblGrid>
        <w:gridCol w:w="3699"/>
        <w:gridCol w:w="6165"/>
      </w:tblGrid>
      <w:tr>
        <w:tc>
          <w:tcPr>
            <w:tcW w:type="dxa" w:w="3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/>
                <w:bCs/>
                <w:color w:val="0D5C63"/>
                <w:sz w:val="17"/>
                <w:szCs w:val="17"/>
              </w:rPr>
              <w:t xml:space="preserve">Livraison, retour, échange, SAV</w:t>
            </w:r>
          </w:p>
        </w:tc>
        <w:tc>
          <w:tcPr>
            <w:tcW w:type="dxa" w:w="61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Service Clients Lyreco — 0825 09 08 07 (0,15 €/min + prix appel), ou </w:t>
            </w:r>
            <w:r>
              <w:rPr>
                <w:rFonts w:ascii="Consolas" w:cs="Consolas" w:eastAsia="Consolas" w:hAnsi="Consolas"/>
                <w:color w:val="0D5C63"/>
                <w:sz w:val="15"/>
                <w:szCs w:val="15"/>
                <w:shd w:fill="EDF2F1" w:color="auto" w:val="clear"/>
              </w:rPr>
              <w:t xml:space="preserve">Contactez-nous</w:t>
            </w: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 depuis le webshop</w:t>
            </w:r>
          </w:p>
        </w:tc>
      </w:tr>
      <w:tr>
        <w:tc>
          <w:tcPr>
            <w:tcW w:type="dxa" w:w="3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/>
                <w:bCs/>
                <w:color w:val="0D5C63"/>
                <w:sz w:val="17"/>
                <w:szCs w:val="17"/>
              </w:rPr>
              <w:t xml:space="preserve">Accès, mot de passe, droits</w:t>
            </w:r>
          </w:p>
        </w:tc>
        <w:tc>
          <w:tcPr>
            <w:tcW w:type="dxa" w:w="61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Administrateur webshop — </w:t>
            </w:r>
            <w:r>
              <w:rPr>
                <w:rFonts w:ascii="Arial" w:cs="Arial" w:eastAsia="Arial" w:hAnsi="Arial"/>
                <w:i/>
                <w:iCs/>
                <w:color w:val="6B4B12"/>
                <w:sz w:val="16"/>
                <w:szCs w:val="16"/>
                <w:highlight w:val="yellow"/>
                <w:highlightCs w:val="yellow"/>
              </w:rPr>
              <w:t xml:space="preserve">nom et e-mail à compléter</w:t>
            </w:r>
          </w:p>
        </w:tc>
      </w:tr>
      <w:tr>
        <w:tc>
          <w:tcPr>
            <w:tcW w:type="dxa" w:w="3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/>
                <w:bCs/>
                <w:color w:val="0D5C63"/>
                <w:sz w:val="17"/>
                <w:szCs w:val="17"/>
              </w:rPr>
              <w:t xml:space="preserve">Besoin hors catalogue, question sur la procédure</w:t>
            </w:r>
          </w:p>
        </w:tc>
        <w:tc>
          <w:tcPr>
            <w:tcW w:type="dxa" w:w="61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Service achats — </w:t>
            </w:r>
            <w:r>
              <w:rPr>
                <w:rFonts w:ascii="Arial" w:cs="Arial" w:eastAsia="Arial" w:hAnsi="Arial"/>
                <w:i/>
                <w:iCs/>
                <w:color w:val="6B4B12"/>
                <w:sz w:val="16"/>
                <w:szCs w:val="16"/>
                <w:highlight w:val="yellow"/>
                <w:highlightCs w:val="yellow"/>
              </w:rPr>
              <w:t xml:space="preserve">nom et e-mail à compléter</w:t>
            </w:r>
          </w:p>
        </w:tc>
      </w:tr>
      <w:tr>
        <w:tc>
          <w:tcPr>
            <w:tcW w:type="dxa" w:w="3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/>
                <w:bCs/>
                <w:color w:val="0D5C63"/>
                <w:sz w:val="17"/>
                <w:szCs w:val="17"/>
              </w:rPr>
              <w:t xml:space="preserve">Écart de facturation</w:t>
            </w:r>
          </w:p>
        </w:tc>
        <w:tc>
          <w:tcPr>
            <w:tcW w:type="dxa" w:w="61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35"/>
            </w:pPr>
            <w:r>
              <w:rPr>
                <w:rFonts w:ascii="Cambria" w:cs="Cambria" w:eastAsia="Cambria" w:hAnsi="Cambria"/>
                <w:b w:val="false"/>
                <w:bCs w:val="false"/>
                <w:color w:val="17232A"/>
                <w:sz w:val="17"/>
                <w:szCs w:val="17"/>
              </w:rPr>
              <w:t xml:space="preserve">Comptabilité fournisseurs — </w:t>
            </w:r>
            <w:r>
              <w:rPr>
                <w:rFonts w:ascii="Arial" w:cs="Arial" w:eastAsia="Arial" w:hAnsi="Arial"/>
                <w:i/>
                <w:iCs/>
                <w:color w:val="6B4B12"/>
                <w:sz w:val="16"/>
                <w:szCs w:val="16"/>
                <w:highlight w:val="yellow"/>
                <w:highlightCs w:val="yellow"/>
              </w:rPr>
              <w:t xml:space="preserve">à compléter</w:t>
            </w:r>
          </w:p>
        </w:tc>
      </w:tr>
    </w:tbl>
    <w:p>
      <w:pPr>
        <w:spacing w:after="110"/>
      </w:pPr>
    </w:p>
    <w:p>
      <w:pPr>
        <w:pBdr>
          <w:top w:val="single" w:color="D3DBDB" w:sz="4" w:space="6"/>
        </w:pBdr>
        <w:spacing w:after="70" w:before="60"/>
      </w:pPr>
      <w:r>
        <w:rPr>
          <w:rFonts w:ascii="Arial" w:cs="Arial" w:eastAsia="Arial" w:hAnsi="Arial"/>
          <w:b/>
          <w:bCs/>
          <w:color w:val="0D5C63"/>
          <w:spacing w:val="25"/>
          <w:sz w:val="14"/>
          <w:szCs w:val="14"/>
        </w:rPr>
        <w:t xml:space="preserve">CHECK-LIST AVANT DE VALIDER</w:t>
      </w:r>
    </w:p>
    <w:tbl>
      <w:tblPr>
        <w:tblW w:type="dxa" w:w="9864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932"/>
        <w:gridCol w:w="4932"/>
      </w:tblGrid>
      <w:tr>
        <w:tc>
          <w:tcPr>
            <w:tcW w:type="dxa" w:w="4932"/>
            <w:tcMar>
              <w:top w:type="dxa" w:w="20"/>
              <w:left w:type="dxa" w:w="0"/>
              <w:bottom w:type="dxa" w:w="20"/>
              <w:right w:type="dxa" w:w="140"/>
            </w:tcMar>
          </w:tcPr>
          <w:p>
            <w:pPr>
              <w:spacing w:after="40" w:line="235"/>
              <w:ind w:left="260" w:hanging="260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☐  </w:t>
            </w:r>
            <w:r>
              <w:rPr>
                <w:rFonts w:ascii="Cambria" w:cs="Cambria" w:eastAsia="Cambria" w:hAnsi="Cambria"/>
                <w:color w:val="17232A"/>
                <w:sz w:val="17"/>
                <w:szCs w:val="17"/>
              </w:rPr>
              <w:t xml:space="preserve">Le compte affiché est celui du centre à livrer.</w:t>
            </w:r>
          </w:p>
        </w:tc>
        <w:tc>
          <w:tcPr>
            <w:tcW w:type="dxa" w:w="4932"/>
            <w:tcMar>
              <w:top w:type="dxa" w:w="20"/>
              <w:left w:type="dxa" w:w="0"/>
              <w:bottom w:type="dxa" w:w="20"/>
              <w:right w:type="dxa" w:w="140"/>
            </w:tcMar>
          </w:tcPr>
          <w:p>
            <w:pPr>
              <w:spacing w:after="40" w:line="235"/>
              <w:ind w:left="260" w:hanging="260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☐  </w:t>
            </w:r>
            <w:r>
              <w:rPr>
                <w:rFonts w:ascii="Cambria" w:cs="Cambria" w:eastAsia="Cambria" w:hAnsi="Cambria"/>
                <w:color w:val="17232A"/>
                <w:sz w:val="17"/>
                <w:szCs w:val="17"/>
              </w:rPr>
              <w:t xml:space="preserve">Montant supérieur ou égal à 75 € HT.</w:t>
            </w:r>
          </w:p>
        </w:tc>
      </w:tr>
      <w:tr>
        <w:tc>
          <w:tcPr>
            <w:tcW w:type="dxa" w:w="4932"/>
            <w:tcMar>
              <w:top w:type="dxa" w:w="20"/>
              <w:left w:type="dxa" w:w="0"/>
              <w:bottom w:type="dxa" w:w="20"/>
              <w:right w:type="dxa" w:w="140"/>
            </w:tcMar>
          </w:tcPr>
          <w:p>
            <w:pPr>
              <w:spacing w:after="40" w:line="235"/>
              <w:ind w:left="260" w:hanging="260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☐  </w:t>
            </w:r>
            <w:r>
              <w:rPr>
                <w:rFonts w:ascii="Cambria" w:cs="Cambria" w:eastAsia="Cambria" w:hAnsi="Cambria"/>
                <w:color w:val="17232A"/>
                <w:sz w:val="17"/>
                <w:szCs w:val="17"/>
              </w:rPr>
              <w:t xml:space="preserve">Les besoins du centre sont regroupés.</w:t>
            </w:r>
          </w:p>
        </w:tc>
        <w:tc>
          <w:tcPr>
            <w:tcW w:type="dxa" w:w="4932"/>
            <w:tcMar>
              <w:top w:type="dxa" w:w="20"/>
              <w:left w:type="dxa" w:w="0"/>
              <w:bottom w:type="dxa" w:w="20"/>
              <w:right w:type="dxa" w:w="140"/>
            </w:tcMar>
          </w:tcPr>
          <w:p>
            <w:pPr>
              <w:spacing w:after="40" w:line="235"/>
              <w:ind w:left="260" w:hanging="260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☐  </w:t>
            </w:r>
            <w:r>
              <w:rPr>
                <w:rFonts w:ascii="Cambria" w:cs="Cambria" w:eastAsia="Cambria" w:hAnsi="Cambria"/>
                <w:color w:val="17232A"/>
                <w:sz w:val="17"/>
                <w:szCs w:val="17"/>
              </w:rPr>
              <w:t xml:space="preserve">Budget respecté, ou dépassement justifié.</w:t>
            </w:r>
          </w:p>
        </w:tc>
      </w:tr>
      <w:tr>
        <w:tc>
          <w:tcPr>
            <w:tcW w:type="dxa" w:w="4932"/>
            <w:tcMar>
              <w:top w:type="dxa" w:w="20"/>
              <w:left w:type="dxa" w:w="0"/>
              <w:bottom w:type="dxa" w:w="20"/>
              <w:right w:type="dxa" w:w="140"/>
            </w:tcMar>
          </w:tcPr>
          <w:p>
            <w:pPr>
              <w:spacing w:after="40" w:line="235"/>
              <w:ind w:left="260" w:hanging="260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☐  </w:t>
            </w:r>
            <w:r>
              <w:rPr>
                <w:rFonts w:ascii="Cambria" w:cs="Cambria" w:eastAsia="Cambria" w:hAnsi="Cambria"/>
                <w:color w:val="17232A"/>
                <w:sz w:val="17"/>
                <w:szCs w:val="17"/>
              </w:rPr>
              <w:t xml:space="preserve">Références, unités de vente et quantités vérifiées.</w:t>
            </w:r>
          </w:p>
        </w:tc>
        <w:tc>
          <w:tcPr>
            <w:tcW w:type="dxa" w:w="4932"/>
            <w:tcMar>
              <w:top w:type="dxa" w:w="20"/>
              <w:left w:type="dxa" w:w="0"/>
              <w:bottom w:type="dxa" w:w="20"/>
              <w:right w:type="dxa" w:w="140"/>
            </w:tcMar>
          </w:tcPr>
          <w:p>
            <w:pPr>
              <w:spacing w:after="40" w:line="235"/>
              <w:ind w:left="260" w:hanging="260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☐  </w:t>
            </w:r>
            <w:r>
              <w:rPr>
                <w:rFonts w:ascii="Cambria" w:cs="Cambria" w:eastAsia="Cambria" w:hAnsi="Cambria"/>
                <w:color w:val="17232A"/>
                <w:sz w:val="17"/>
                <w:szCs w:val="17"/>
              </w:rPr>
              <w:t xml:space="preserve">Référence interne, contact et téléphone renseignés.</w:t>
            </w:r>
          </w:p>
        </w:tc>
      </w:tr>
      <w:tr>
        <w:tc>
          <w:tcPr>
            <w:tcW w:type="dxa" w:w="4932"/>
            <w:tcMar>
              <w:top w:type="dxa" w:w="20"/>
              <w:left w:type="dxa" w:w="0"/>
              <w:bottom w:type="dxa" w:w="20"/>
              <w:right w:type="dxa" w:w="140"/>
            </w:tcMar>
          </w:tcPr>
          <w:p>
            <w:pPr>
              <w:spacing w:after="40" w:line="235"/>
              <w:ind w:left="260" w:hanging="260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☐  </w:t>
            </w:r>
            <w:r>
              <w:rPr>
                <w:rFonts w:ascii="Cambria" w:cs="Cambria" w:eastAsia="Cambria" w:hAnsi="Cambria"/>
                <w:color w:val="17232A"/>
                <w:sz w:val="17"/>
                <w:szCs w:val="17"/>
              </w:rPr>
              <w:t xml:space="preserve">Produits issus du mini-catalogue ou des favoris.</w:t>
            </w:r>
          </w:p>
        </w:tc>
        <w:tc>
          <w:tcPr>
            <w:tcW w:type="dxa" w:w="4932"/>
            <w:tcMar>
              <w:top w:type="dxa" w:w="20"/>
              <w:left w:type="dxa" w:w="0"/>
              <w:bottom w:type="dxa" w:w="20"/>
              <w:right w:type="dxa" w:w="140"/>
            </w:tcMar>
          </w:tcPr>
          <w:p>
            <w:pPr>
              <w:spacing w:after="40" w:line="235"/>
              <w:ind w:left="260" w:hanging="260"/>
            </w:pPr>
            <w:r>
              <w:rPr>
                <w:rFonts w:ascii="Cambria" w:cs="Cambria" w:eastAsia="Cambria" w:hAnsi="Cambria"/>
                <w:sz w:val="18"/>
                <w:szCs w:val="18"/>
              </w:rPr>
              <w:t xml:space="preserve">☐  </w:t>
            </w:r>
            <w:r>
              <w:rPr>
                <w:rFonts w:ascii="Cambria" w:cs="Cambria" w:eastAsia="Cambria" w:hAnsi="Cambria"/>
                <w:color w:val="17232A"/>
                <w:sz w:val="17"/>
                <w:szCs w:val="17"/>
              </w:rPr>
              <w:t xml:space="preserve">Commande passée avant 18 h si livraison attendue le lendemain.</w:t>
            </w:r>
          </w:p>
        </w:tc>
      </w:tr>
    </w:tbl>
    <w:p>
      <w:pPr>
        <w:sectPr>
          <w:footerReference w:type="default" r:id="rId7"/>
          <w:pgSz w:w="11906" w:h="16838" w:orient="portrait"/>
          <w:pgMar w:top="964" w:right="1021" w:bottom="850" w:left="1021" w:header="708" w:footer="708" w:gutter="0"/>
          <w:pgNumType/>
          <w:docGrid w:linePitch="360"/>
        </w:sectPr>
      </w:pPr>
    </w:p>
    <w:p>
      <w:pPr>
        <w:spacing w:after="70"/>
      </w:pPr>
      <w:r>
        <w:rPr>
          <w:rFonts w:ascii="Arial" w:cs="Arial" w:eastAsia="Arial" w:hAnsi="Arial"/>
          <w:b/>
          <w:bCs/>
          <w:color w:val="0D5C63"/>
          <w:spacing w:val="30"/>
          <w:sz w:val="15"/>
          <w:szCs w:val="15"/>
        </w:rPr>
        <w:t xml:space="preserve">PROCÉDURE INTERNE · PRO-SG-002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17232A"/>
          <w:sz w:val="40"/>
          <w:szCs w:val="40"/>
        </w:rPr>
        <w:t xml:space="preserve">Déverrouillage et manutention des cloisons mobiles</w:t>
      </w:r>
    </w:p>
    <w:p>
      <w:pPr>
        <w:spacing w:after="110" w:line="250"/>
      </w:pPr>
      <w:r>
        <w:rPr>
          <w:rFonts w:ascii="Cambria" w:cs="Cambria" w:eastAsia="Cambria" w:hAnsi="Cambria"/>
          <w:i/>
          <w:iCs/>
          <w:color w:val="5B6C72"/>
          <w:sz w:val="21"/>
          <w:szCs w:val="21"/>
        </w:rPr>
        <w:t xml:space="preserve">Mode opératoire pour replier, déplacer et remiser les murs de cloisons mobiles d'une salle de réunion, dans l'ordre imposé par le plan d'implantation.</w:t>
      </w:r>
    </w:p>
    <w:p>
      <w:pPr>
        <w:pBdr>
          <w:bottom w:val="single" w:color="0D5C63" w:sz="14" w:space="7"/>
        </w:pBdr>
        <w:spacing w:after="40"/>
      </w:pP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Version </w:t>
      </w:r>
      <w:r>
        <w:rPr>
          <w:rFonts w:ascii="Arial" w:cs="Arial" w:eastAsia="Arial" w:hAnsi="Arial"/>
          <w:color w:val="5B6C72"/>
          <w:sz w:val="15"/>
          <w:szCs w:val="15"/>
        </w:rPr>
        <w:t xml:space="preserve">1.0</w:t>
      </w: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     Application </w:t>
      </w:r>
      <w:r>
        <w:rPr>
          <w:rFonts w:ascii="Arial" w:cs="Arial" w:eastAsia="Arial" w:hAnsi="Arial"/>
          <w:i/>
          <w:iCs/>
          <w:color w:val="6B4B12"/>
          <w:sz w:val="14"/>
          <w:szCs w:val="14"/>
          <w:highlight w:val="yellow"/>
          <w:highlightCs w:val="yellow"/>
        </w:rPr>
        <w:t xml:space="preserve">à compléter</w:t>
      </w: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     Site </w:t>
      </w:r>
      <w:r>
        <w:rPr>
          <w:rFonts w:ascii="Arial" w:cs="Arial" w:eastAsia="Arial" w:hAnsi="Arial"/>
          <w:i/>
          <w:iCs/>
          <w:color w:val="6B4B12"/>
          <w:sz w:val="14"/>
          <w:szCs w:val="14"/>
          <w:highlight w:val="yellow"/>
          <w:highlightCs w:val="yellow"/>
        </w:rPr>
        <w:t xml:space="preserve">à compléter</w:t>
      </w: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     Révision </w:t>
      </w:r>
      <w:r>
        <w:rPr>
          <w:rFonts w:ascii="Arial" w:cs="Arial" w:eastAsia="Arial" w:hAnsi="Arial"/>
          <w:color w:val="5B6C72"/>
          <w:sz w:val="15"/>
          <w:szCs w:val="15"/>
        </w:rPr>
        <w:t xml:space="preserve">annuelle</w:t>
      </w: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     Contact </w:t>
      </w:r>
      <w:r>
        <w:rPr>
          <w:rFonts w:ascii="Arial" w:cs="Arial" w:eastAsia="Arial" w:hAnsi="Arial"/>
          <w:i/>
          <w:iCs/>
          <w:color w:val="6B4B12"/>
          <w:sz w:val="14"/>
          <w:szCs w:val="14"/>
          <w:highlight w:val="yellow"/>
          <w:highlightCs w:val="yellow"/>
        </w:rPr>
        <w:t xml:space="preserve">services généraux</w:t>
      </w:r>
    </w:p>
    <w:p>
      <w:pPr>
        <w:keepNext/>
        <w:pBdr>
          <w:top w:val="single" w:color="D3DBDB" w:sz="4" w:space="8"/>
        </w:pBdr>
        <w:spacing w:after="75" w:before="18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1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Plan, outillage et prérequis</w:t>
      </w:r>
    </w:p>
    <w:p>
      <w:pPr>
        <w:spacing w:after="75" w:line="245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Avant toute manipulation, se référer au plan d'implantation ci-dessous pour identifier les zones d'intervention.</w:t>
      </w:r>
    </w:p>
    <w:p>
      <w:pPr>
        <w:spacing w:after="40" w:before="60"/>
        <w:jc w:val="center"/>
      </w:pPr>
      <w:r>
        <w:drawing>
          <wp:inline distT="0" distB="0" distL="0" distR="0">
            <wp:extent cx="4762500" cy="673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color w:val="5B6C72"/>
          <w:sz w:val="14"/>
          <w:szCs w:val="14"/>
        </w:rPr>
        <w:t xml:space="preserve">Plan d'implantation — les pastilles rouges numérotées repèrent les six zones de cloisons mobiles.</w:t>
      </w:r>
    </w:p>
    <w:p>
      <w:pPr>
        <w:keepNext/>
        <w:spacing w:after="45" w:before="100"/>
      </w:pPr>
      <w:r>
        <w:rPr>
          <w:rFonts w:ascii="Arial" w:cs="Arial" w:eastAsia="Arial" w:hAnsi="Arial"/>
          <w:b/>
          <w:bCs/>
          <w:color w:val="17232A"/>
          <w:sz w:val="18"/>
          <w:szCs w:val="18"/>
        </w:rPr>
        <w:t xml:space="preserve">Ordre d'ouverture</w:t>
      </w:r>
    </w:p>
    <w:p>
      <w:pPr>
        <w:spacing w:after="75" w:line="245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Il est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strictement impératif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de suivre l'ordre d'ouverture des murs de cloisons indiqué par les pastilles rouges numérotées sur le plan, en procédant chronologiquement de la zone 1 jusqu'à la zone 6.</w:t>
      </w:r>
    </w:p>
    <w:p>
      <w:pPr>
        <w:spacing w:after="130"/>
      </w:pPr>
      <w:r>
        <w:rPr>
          <w:rFonts w:ascii="Arial" w:cs="Arial" w:eastAsia="Arial" w:hAnsi="Arial"/>
          <w:b/>
          <w:bCs/>
          <w:color w:val="5B6C72"/>
          <w:spacing w:val="25"/>
          <w:sz w:val="13"/>
          <w:szCs w:val="13"/>
        </w:rPr>
        <w:t xml:space="preserve">ORDRE IMPOSÉ    </w:t>
      </w:r>
      <w:r>
        <w:rPr>
          <w:rFonts w:ascii="Arial" w:cs="Arial" w:eastAsia="Arial" w:hAnsi="Arial"/>
          <w:b/>
          <w:bCs/>
          <w:color w:val="0D5C63"/>
          <w:sz w:val="18"/>
          <w:szCs w:val="18"/>
        </w:rPr>
        <w:t xml:space="preserve">Zone 1  →  Zone 2  →  Zone 3  →  Zone 4  →  Zone 5  →  Zone 6</w:t>
      </w:r>
    </w:p>
    <w:p>
      <w:pPr>
        <w:keepNext/>
        <w:spacing w:after="45" w:before="100"/>
      </w:pPr>
      <w:r>
        <w:rPr>
          <w:rFonts w:ascii="Arial" w:cs="Arial" w:eastAsia="Arial" w:hAnsi="Arial"/>
          <w:b/>
          <w:bCs/>
          <w:color w:val="17232A"/>
          <w:sz w:val="18"/>
          <w:szCs w:val="18"/>
        </w:rPr>
        <w:t xml:space="preserve">Outillage</w:t>
      </w:r>
    </w:p>
    <w:p>
      <w:pPr>
        <w:spacing w:after="75" w:line="245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Manivelle de manœuvre extractible.</w:t>
      </w:r>
    </w:p>
    <w:p>
      <w:pPr>
        <w:keepNext/>
        <w:pBdr>
          <w:top w:val="single" w:color="D3DBDB" w:sz="4" w:space="8"/>
        </w:pBdr>
        <w:spacing w:after="75" w:before="18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2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Protocole opératoire de déverrouillage</w:t>
      </w:r>
    </w:p>
    <w:p>
      <w:pPr>
        <w:keepNext/>
        <w:spacing w:after="30" w:before="180"/>
      </w:pPr>
      <w:r>
        <w:rPr>
          <w:rFonts w:ascii="Arial" w:cs="Arial" w:eastAsia="Arial" w:hAnsi="Arial"/>
          <w:b/>
          <w:bCs/>
          <w:color w:val="0D5C63"/>
          <w:spacing w:val="25"/>
          <w:sz w:val="13"/>
          <w:szCs w:val="13"/>
        </w:rPr>
        <w:t xml:space="preserve">ÉTAPE 1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color w:val="17232A"/>
          <w:sz w:val="19"/>
          <w:szCs w:val="19"/>
        </w:rPr>
        <w:t xml:space="preserve">Libération du module télescopique (compensateur final)</w:t>
      </w:r>
    </w:p>
    <w:p>
      <w:pPr>
        <w:spacing w:after="75" w:line="245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Pour chaque zone, en suivant l'ordre de 1 à 6, le repli de la cloison doit impérativement débuter par le module télescopique.</w:t>
      </w:r>
    </w:p>
    <w:p>
      <w:pPr>
        <w:pStyle w:val="ListParagraph"/>
        <w:numPr>
          <w:ilvl w:val="0"/>
          <w:numId w:val="5"/>
        </w:numPr>
        <w:spacing w:after="45" w:line="25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Localiser le panneau télescopique situé en extrémité de cloison.</w:t>
      </w:r>
    </w:p>
    <w:p>
      <w:pPr>
        <w:pStyle w:val="ListParagraph"/>
        <w:numPr>
          <w:ilvl w:val="0"/>
          <w:numId w:val="5"/>
        </w:numPr>
        <w:spacing w:after="45" w:line="25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Insérer la manivelle de commande dans l'orifice situé sur la face frontale du panneau.</w:t>
      </w:r>
    </w:p>
    <w:p>
      <w:pPr>
        <w:pStyle w:val="ListParagraph"/>
        <w:numPr>
          <w:ilvl w:val="0"/>
          <w:numId w:val="5"/>
        </w:numPr>
        <w:spacing w:after="45" w:line="25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Actionner la manivelle afin de rétracter simultanément le compensateur vertical (course jusqu'à 120 mm) et les plinthes d'étanchéité supérieure et inférieure.</w:t>
      </w:r>
    </w:p>
    <w:p>
      <w:pPr>
        <w:keepNext/>
        <w:spacing w:after="30" w:before="180"/>
      </w:pPr>
      <w:r>
        <w:rPr>
          <w:rFonts w:ascii="Arial" w:cs="Arial" w:eastAsia="Arial" w:hAnsi="Arial"/>
          <w:b/>
          <w:bCs/>
          <w:color w:val="0D5C63"/>
          <w:spacing w:val="25"/>
          <w:sz w:val="13"/>
          <w:szCs w:val="13"/>
        </w:rPr>
        <w:t xml:space="preserve">ÉTAPE 2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color w:val="17232A"/>
          <w:sz w:val="19"/>
          <w:szCs w:val="19"/>
        </w:rPr>
        <w:t xml:space="preserve">Déverrouillage des modules standards et des portes</w:t>
      </w:r>
    </w:p>
    <w:p>
      <w:pPr>
        <w:spacing w:after="75" w:line="245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Une fois le module télescopique dégagé, procéder séquentiellement avec les panneaux adjacents.</w:t>
      </w:r>
    </w:p>
    <w:p>
      <w:pPr>
        <w:pStyle w:val="ListParagraph"/>
        <w:numPr>
          <w:ilvl w:val="0"/>
          <w:numId w:val="5"/>
        </w:numPr>
        <w:spacing w:after="45" w:line="25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Insérer la manivelle sur le chant (la tranche) de chaque panneau standard.</w:t>
      </w:r>
    </w:p>
    <w:p>
      <w:pPr>
        <w:pStyle w:val="ListParagraph"/>
        <w:numPr>
          <w:ilvl w:val="0"/>
          <w:numId w:val="5"/>
        </w:numPr>
        <w:spacing w:after="45" w:line="25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Effectuer la rotation pour rétracter les plinthes télescopiques haute et basse en aluminium (course de 25 mm).</w:t>
      </w:r>
    </w:p>
    <w:p>
      <w:pPr>
        <w:pStyle w:val="ListParagraph"/>
        <w:numPr>
          <w:ilvl w:val="0"/>
          <w:numId w:val="5"/>
        </w:numPr>
        <w:spacing w:after="45" w:line="25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S'assurer visuellement et physiquement que le panneau est totalement désolidarisé du sol avant d'initier tout mouvement latéral.</w:t>
      </w:r>
    </w:p>
    <w:p>
      <w:pPr>
        <w:keepNext/>
        <w:spacing w:after="30" w:before="180"/>
      </w:pPr>
      <w:r>
        <w:rPr>
          <w:rFonts w:ascii="Arial" w:cs="Arial" w:eastAsia="Arial" w:hAnsi="Arial"/>
          <w:b/>
          <w:bCs/>
          <w:color w:val="0D5C63"/>
          <w:spacing w:val="25"/>
          <w:sz w:val="13"/>
          <w:szCs w:val="13"/>
        </w:rPr>
        <w:t xml:space="preserve">ÉTAPE 3</w:t>
      </w:r>
    </w:p>
    <w:p>
      <w:pPr>
        <w:keepNext/>
        <w:spacing w:after="60"/>
      </w:pPr>
      <w:r>
        <w:rPr>
          <w:rFonts w:ascii="Arial" w:cs="Arial" w:eastAsia="Arial" w:hAnsi="Arial"/>
          <w:b/>
          <w:bCs/>
          <w:color w:val="17232A"/>
          <w:sz w:val="19"/>
          <w:szCs w:val="19"/>
        </w:rPr>
        <w:t xml:space="preserve">Translation et remisage</w:t>
      </w:r>
    </w:p>
    <w:p>
      <w:pPr>
        <w:pStyle w:val="ListParagraph"/>
        <w:numPr>
          <w:ilvl w:val="0"/>
          <w:numId w:val="5"/>
        </w:numPr>
        <w:spacing w:after="45" w:line="25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Les éléments étant suspendus de manière indépendante par des chariots à roulements radiaux, la translation doit s'effectuer sans à-coups.</w:t>
      </w:r>
    </w:p>
    <w:p>
      <w:pPr>
        <w:pStyle w:val="ListParagraph"/>
        <w:numPr>
          <w:ilvl w:val="0"/>
          <w:numId w:val="5"/>
        </w:numPr>
        <w:spacing w:after="45" w:line="25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Faire glisser les modules individuellement le long du rail de guidage plafonnier.</w:t>
      </w:r>
    </w:p>
    <w:p>
      <w:pPr>
        <w:pStyle w:val="ListParagraph"/>
        <w:numPr>
          <w:ilvl w:val="0"/>
          <w:numId w:val="5"/>
        </w:numPr>
        <w:spacing w:after="45" w:line="25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Acheminer les panneaux vers leur zone de remisage (parking) désignée sur le plan d'implantation du site.</w:t>
      </w:r>
    </w:p>
    <w:p>
      <w:pPr>
        <w:pStyle w:val="ListParagraph"/>
        <w:numPr>
          <w:ilvl w:val="0"/>
          <w:numId w:val="5"/>
        </w:numPr>
        <w:spacing w:after="45" w:line="25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Empiler les éléments selon le calepinage prévu afin d'éviter tout encombrement ou détérioration des finitions.</w:t>
      </w:r>
    </w:p>
    <w:p>
      <w:pPr>
        <w:spacing w:after="120"/>
      </w:pPr>
    </w:p>
    <w:tbl>
      <w:tblPr>
        <w:tblW w:type="dxa" w:w="9864"/>
        <w:tblBorders>
          <w:top w:val="none"/>
          <w:left w:val="single" w:color="94322B" w:sz="18"/>
          <w:bottom w:val="none"/>
          <w:right w:val="none"/>
          <w:insideH w:val="none"/>
          <w:insideV w:val="none"/>
        </w:tblBorders>
      </w:tblPr>
      <w:tblGrid>
        <w:gridCol w:w="9864"/>
      </w:tblGrid>
      <w:tr>
        <w:tc>
          <w:tcPr>
            <w:tcW w:type="dxa" w:w="9864"/>
            <w:shd w:fill="F8E7E4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5"/>
            </w:pPr>
            <w:r>
              <w:rPr>
                <w:rFonts w:ascii="Arial" w:cs="Arial" w:eastAsia="Arial" w:hAnsi="Arial"/>
                <w:b/>
                <w:bCs/>
                <w:color w:val="94322B"/>
                <w:spacing w:val="25"/>
                <w:sz w:val="13"/>
                <w:szCs w:val="13"/>
              </w:rPr>
              <w:t xml:space="preserve">POINT CRITIQUE</w:t>
            </w:r>
          </w:p>
          <w:p>
            <w:pPr>
              <w:spacing w:after="0" w:line="235"/>
            </w:pPr>
            <w:r>
              <w:rPr>
                <w:rFonts w:ascii="Cambria" w:cs="Cambria" w:eastAsia="Cambria" w:hAnsi="Cambria"/>
                <w:color w:val="17232A"/>
                <w:sz w:val="17"/>
                <w:szCs w:val="17"/>
              </w:rPr>
              <w:t xml:space="preserve">L'infrastructure ne comporte </w:t>
            </w:r>
            <w:r>
              <w:rPr>
                <w:rFonts w:ascii="Cambria" w:cs="Cambria" w:eastAsia="Cambria" w:hAnsi="Cambria"/>
                <w:b/>
                <w:bCs/>
                <w:color w:val="17232A"/>
                <w:sz w:val="17"/>
                <w:szCs w:val="17"/>
              </w:rPr>
              <w:t xml:space="preserve">aucun rail au sol</w:t>
            </w:r>
            <w:r>
              <w:rPr>
                <w:rFonts w:ascii="Cambria" w:cs="Cambria" w:eastAsia="Cambria" w:hAnsi="Cambria"/>
                <w:color w:val="17232A"/>
                <w:sz w:val="17"/>
                <w:szCs w:val="17"/>
              </w:rPr>
              <w:t xml:space="preserve"> : les panneaux sont suspendus au rail plafonnier. Aucun mouvement latéral ne doit être engagé tant que le panneau n'est pas totalement désolidarisé du sol.</w:t>
            </w:r>
          </w:p>
        </w:tc>
      </w:tr>
    </w:tbl>
    <w:sectPr>
      <w:footerReference w:type="default" r:id="rId8"/>
      <w:pgSz w:w="11906" w:h="16838" w:orient="portrait"/>
      <w:pgMar w:top="964" w:right="1021" w:bottom="850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BDB" w:sz="4" w:space="6"/>
      </w:pBdr>
      <w:jc w:val="right"/>
    </w:pPr>
    <w:r>
      <w:rPr>
        <w:rFonts w:ascii="Arial" w:cs="Arial" w:eastAsia="Arial" w:hAnsi="Arial"/>
        <w:color w:val="5B6C72"/>
        <w:sz w:val="13"/>
        <w:szCs w:val="13"/>
      </w:rPr>
      <w:t xml:space="preserve">PRO-ACH-001 · Commander sur le webshop Lyreco  ·  Document interne          </w:t>
    </w:r>
    <w:r>
      <w:rPr>
        <w:rFonts w:ascii="Arial" w:cs="Arial" w:eastAsia="Arial" w:hAnsi="Arial"/>
        <w:color w:val="5B6C72"/>
        <w:sz w:val="13"/>
        <w:szCs w:val="13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BDB" w:sz="4" w:space="6"/>
      </w:pBdr>
      <w:jc w:val="right"/>
    </w:pPr>
    <w:r>
      <w:rPr>
        <w:rFonts w:ascii="Arial" w:cs="Arial" w:eastAsia="Arial" w:hAnsi="Arial"/>
        <w:color w:val="5B6C72"/>
        <w:sz w:val="13"/>
        <w:szCs w:val="13"/>
      </w:rPr>
      <w:t xml:space="preserve">PRO-SG-002 · Cloisons mobiles  ·  Propriété exclusive des Services Généraux Audika          </w:t>
    </w:r>
    <w:r>
      <w:rPr>
        <w:rFonts w:ascii="Arial" w:cs="Arial" w:eastAsia="Arial" w:hAnsi="Arial"/>
        <w:color w:val="5B6C72"/>
        <w:sz w:val="13"/>
        <w:szCs w:val="13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17232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ab50f97ec7758efb04cfff9597a22ce49a9a6564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Procédures — Services Généraux Audika</dc:title>
  <dc:creator>Services Généraux Audika</dc:creator>
  <dc:description>Recueil de procédures internes</dc:description>
  <cp:lastModifiedBy>Un-named</cp:lastModifiedBy>
  <cp:revision>1</cp:revision>
  <dcterms:created xsi:type="dcterms:W3CDTF">2026-08-19T15:08:19.669Z</dcterms:created>
  <dcterms:modified xsi:type="dcterms:W3CDTF">2026-08-19T15:08:19.669Z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