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0D5C63"/>
          <w:sz w:val="15"/>
          <w:szCs w:val="15"/>
        </w:rPr>
        <w:t xml:space="preserve">PROCÉDURE INTERNE · PRO-ACH-001</w:t>
      </w:r>
    </w:p>
    <w:p>
      <w:pPr>
        <w:spacing w:after="60"/>
      </w:pPr>
      <w:r>
        <w:rPr>
          <w:b/>
          <w:bCs/>
          <w:sz w:val="34"/>
          <w:szCs w:val="34"/>
        </w:rPr>
        <w:t xml:space="preserve">Commander sur le webshop Lyreco</w:t>
      </w:r>
    </w:p>
    <w:p>
      <w:pPr>
        <w:spacing w:after="100" w:line="240"/>
      </w:pPr>
      <w:r>
        <w:rPr>
          <w:i/>
          <w:iCs/>
          <w:color w:val="5B6C72"/>
          <w:sz w:val="19"/>
          <w:szCs w:val="19"/>
        </w:rPr>
        <w:t xml:space="preserve">Mode opératoire à l'usage des centres : passer une commande, la suivre, réceptionner la livraison et traiter les anomalies.</w:t>
      </w:r>
    </w:p>
    <w:p>
      <w:pPr>
        <w:pBdr>
          <w:bottom w:val="single" w:color="0D5C63" w:sz="12" w:space="6"/>
        </w:pBdr>
        <w:spacing w:after="60"/>
      </w:pPr>
      <w:r>
        <w:rPr>
          <w:b/>
          <w:bCs/>
          <w:sz w:val="15"/>
          <w:szCs w:val="15"/>
        </w:rPr>
        <w:t xml:space="preserve">Version </w:t>
      </w:r>
      <w:r>
        <w:rPr>
          <w:color w:val="5B6C72"/>
          <w:sz w:val="15"/>
          <w:szCs w:val="15"/>
        </w:rPr>
        <w:t xml:space="preserve">1.0      </w:t>
      </w:r>
      <w:r>
        <w:rPr>
          <w:b/>
          <w:bCs/>
          <w:sz w:val="15"/>
          <w:szCs w:val="15"/>
        </w:rPr>
        <w:t xml:space="preserve">Application </w:t>
      </w:r>
      <w:r>
        <w:rPr>
          <w:i/>
          <w:iCs/>
          <w:sz w:val="15"/>
          <w:szCs w:val="15"/>
          <w:highlight w:val="yellow"/>
          <w:highlightCs w:val="yellow"/>
        </w:rPr>
        <w:t xml:space="preserve">à compléter</w:t>
      </w:r>
      <w:r>
        <w:rPr>
          <w:b/>
          <w:bCs/>
          <w:sz w:val="15"/>
          <w:szCs w:val="15"/>
        </w:rPr>
        <w:t xml:space="preserve">      Diffusion </w:t>
      </w:r>
      <w:r>
        <w:rPr>
          <w:color w:val="5B6C72"/>
          <w:sz w:val="15"/>
          <w:szCs w:val="15"/>
        </w:rPr>
        <w:t xml:space="preserve">centres, DR, siège      </w:t>
      </w:r>
      <w:r>
        <w:rPr>
          <w:b/>
          <w:bCs/>
          <w:sz w:val="15"/>
          <w:szCs w:val="15"/>
        </w:rPr>
        <w:t xml:space="preserve">Révision </w:t>
      </w:r>
      <w:r>
        <w:rPr>
          <w:color w:val="5B6C72"/>
          <w:sz w:val="15"/>
          <w:szCs w:val="15"/>
        </w:rPr>
        <w:t xml:space="preserve">annuelle      </w:t>
      </w:r>
      <w:r>
        <w:rPr>
          <w:b/>
          <w:bCs/>
          <w:sz w:val="15"/>
          <w:szCs w:val="15"/>
        </w:rPr>
        <w:t xml:space="preserve">Contact </w:t>
      </w:r>
      <w:r>
        <w:rPr>
          <w:i/>
          <w:iCs/>
          <w:sz w:val="15"/>
          <w:szCs w:val="15"/>
          <w:highlight w:val="yellow"/>
          <w:highlightCs w:val="yellow"/>
        </w:rPr>
        <w:t xml:space="preserve">service achats</w:t>
      </w:r>
    </w:p>
    <w:p>
      <w:pPr>
        <w:pStyle w:val="Heading2"/>
        <w:keepNext/>
        <w:pBdr>
          <w:top w:val="single" w:color="D3DBDB" w:sz="4" w:space="5"/>
        </w:pBdr>
        <w:spacing w:after="80" w:before="200"/>
      </w:pPr>
      <w:r>
        <w:rPr>
          <w:b/>
          <w:bCs/>
          <w:color w:val="0D5C63"/>
          <w:sz w:val="22"/>
          <w:szCs w:val="22"/>
        </w:rPr>
        <w:t xml:space="preserve">1   </w:t>
      </w:r>
      <w:r>
        <w:rPr>
          <w:b/>
          <w:bCs/>
          <w:sz w:val="22"/>
          <w:szCs w:val="22"/>
        </w:rPr>
        <w:t xml:space="preserve">Ce que couvre cette procédure</w:t>
      </w:r>
    </w:p>
    <w:p>
      <w:pPr>
        <w:spacing w:after="70" w:line="250"/>
      </w:pPr>
      <w:r>
        <w:rPr>
          <w:sz w:val="18"/>
          <w:szCs w:val="18"/>
        </w:rPr>
        <w:t xml:space="preserve">Tout achat de fournitures de fonctionnement passé sur le webshop Lyreco : papier, cartouches et toners, fournitures de bureau, hygiène et entretien, alimentation et réception, EPI, emballage, petit équipement de bureau.</w:t>
      </w:r>
    </w:p>
    <w:p>
      <w:pPr>
        <w:spacing w:after="70" w:line="250"/>
      </w:pPr>
      <w:r>
        <w:rPr>
          <w:b/>
          <w:bCs/>
          <w:sz w:val="18"/>
          <w:szCs w:val="18"/>
        </w:rPr>
        <w:t xml:space="preserve">Ne passent pas par Lyreco</w:t>
      </w:r>
      <w:r>
        <w:rPr>
          <w:sz w:val="18"/>
          <w:szCs w:val="18"/>
        </w:rPr>
        <w:t xml:space="preserve"> : le matériel médical et audiologique, l'informatique gérée par la DSI, le mobilier et les aménagements au-delà de </w:t>
      </w:r>
      <w:r>
        <w:rPr>
          <w:i/>
          <w:iCs/>
          <w:sz w:val="18"/>
          <w:szCs w:val="18"/>
          <w:highlight w:val="yellow"/>
          <w:highlightCs w:val="yellow"/>
        </w:rPr>
        <w:t xml:space="preserve">seuil à compléter</w:t>
      </w:r>
      <w:r>
        <w:rPr>
          <w:sz w:val="18"/>
          <w:szCs w:val="18"/>
        </w:rPr>
        <w:t xml:space="preserve">. Ces demandes sont adressées au service achats.</w:t>
      </w:r>
    </w:p>
    <w:p>
      <w:pPr>
        <w:pStyle w:val="Heading2"/>
        <w:keepNext/>
        <w:pBdr>
          <w:top w:val="single" w:color="D3DBDB" w:sz="4" w:space="5"/>
        </w:pBdr>
        <w:spacing w:after="80" w:before="200"/>
      </w:pPr>
      <w:r>
        <w:rPr>
          <w:b/>
          <w:bCs/>
          <w:color w:val="0D5C63"/>
          <w:sz w:val="22"/>
          <w:szCs w:val="22"/>
        </w:rPr>
        <w:t xml:space="preserve">2   </w:t>
      </w:r>
      <w:r>
        <w:rPr>
          <w:b/>
          <w:bCs/>
          <w:sz w:val="22"/>
          <w:szCs w:val="22"/>
        </w:rPr>
        <w:t xml:space="preserve">Les six règles à respecter</w:t>
      </w:r>
    </w:p>
    <w:p>
      <w:pPr>
        <w:spacing w:after="60" w:line="240"/>
        <w:ind w:left="420" w:hanging="420"/>
      </w:pPr>
      <w:r>
        <w:rPr>
          <w:b/>
          <w:bCs/>
          <w:color w:val="0D5C63"/>
          <w:sz w:val="17"/>
          <w:szCs w:val="17"/>
        </w:rPr>
        <w:t xml:space="preserve">R1   </w:t>
      </w:r>
      <w:r>
        <w:rPr>
          <w:sz w:val="17"/>
          <w:szCs w:val="17"/>
        </w:rPr>
        <w:t xml:space="preserve">Regrouper les besoins du centre : </w:t>
      </w:r>
      <w:r>
        <w:rPr>
          <w:b/>
          <w:bCs/>
          <w:sz w:val="17"/>
          <w:szCs w:val="17"/>
        </w:rPr>
        <w:t xml:space="preserve">une commande par</w:t>
      </w:r>
      <w:r>
        <w:rPr>
          <w:sz w:val="17"/>
          <w:szCs w:val="17"/>
        </w:rPr>
        <w:t xml:space="preserve"> </w:t>
      </w:r>
      <w:r>
        <w:rPr>
          <w:i/>
          <w:iCs/>
          <w:sz w:val="17"/>
          <w:szCs w:val="17"/>
          <w:highlight w:val="yellow"/>
          <w:highlightCs w:val="yellow"/>
        </w:rPr>
        <w:t xml:space="preserve">période à compléter</w:t>
      </w:r>
      <w:r>
        <w:rPr>
          <w:sz w:val="17"/>
          <w:szCs w:val="17"/>
        </w:rPr>
        <w:t xml:space="preserve">, hors urgence justifiée.</w:t>
      </w:r>
    </w:p>
    <w:p>
      <w:pPr>
        <w:spacing w:after="60" w:line="240"/>
        <w:ind w:left="420" w:hanging="420"/>
      </w:pPr>
      <w:r>
        <w:rPr>
          <w:b/>
          <w:bCs/>
          <w:color w:val="0D5C63"/>
          <w:sz w:val="17"/>
          <w:szCs w:val="17"/>
        </w:rPr>
        <w:t xml:space="preserve">R2   </w:t>
      </w:r>
      <w:r>
        <w:rPr>
          <w:b/>
          <w:bCs/>
          <w:sz w:val="17"/>
          <w:szCs w:val="17"/>
        </w:rPr>
        <w:t xml:space="preserve">75 € HT minimum</w:t>
      </w:r>
      <w:r>
        <w:rPr>
          <w:sz w:val="17"/>
          <w:szCs w:val="17"/>
        </w:rPr>
        <w:t xml:space="preserve"> par commande : c'est le seuil de la livraison gratuite. En dessous, des frais de port sont facturés.</w:t>
      </w:r>
    </w:p>
    <w:p>
      <w:pPr>
        <w:spacing w:after="60" w:line="240"/>
        <w:ind w:left="420" w:hanging="420"/>
      </w:pPr>
      <w:r>
        <w:rPr>
          <w:b/>
          <w:bCs/>
          <w:color w:val="0D5C63"/>
          <w:sz w:val="17"/>
          <w:szCs w:val="17"/>
        </w:rPr>
        <w:t xml:space="preserve">R3   </w:t>
      </w:r>
      <w:r>
        <w:rPr>
          <w:sz w:val="17"/>
          <w:szCs w:val="17"/>
        </w:rPr>
        <w:t xml:space="preserve">Commander </w:t>
      </w:r>
      <w:r>
        <w:rPr>
          <w:b/>
          <w:bCs/>
          <w:sz w:val="17"/>
          <w:szCs w:val="17"/>
        </w:rPr>
        <w:t xml:space="preserve">dans le mini-catalogue et les listes de favoris</w:t>
      </w:r>
      <w:r>
        <w:rPr>
          <w:sz w:val="17"/>
          <w:szCs w:val="17"/>
        </w:rPr>
        <w:t xml:space="preserve">, qui contiennent les produits négociés. Besoin hors catalogue : passer par le service achats.</w:t>
      </w:r>
    </w:p>
    <w:p>
      <w:pPr>
        <w:spacing w:after="60" w:line="240"/>
        <w:ind w:left="420" w:hanging="420"/>
      </w:pPr>
      <w:r>
        <w:rPr>
          <w:b/>
          <w:bCs/>
          <w:color w:val="0D5C63"/>
          <w:sz w:val="17"/>
          <w:szCs w:val="17"/>
        </w:rPr>
        <w:t xml:space="preserve">R4   </w:t>
      </w:r>
      <w:r>
        <w:rPr>
          <w:b/>
          <w:bCs/>
          <w:sz w:val="17"/>
          <w:szCs w:val="17"/>
        </w:rPr>
        <w:t xml:space="preserve">Vérifier le compte actif</w:t>
      </w:r>
      <w:r>
        <w:rPr>
          <w:sz w:val="17"/>
          <w:szCs w:val="17"/>
        </w:rPr>
        <w:t xml:space="preserve"> avant de remplir le panier : il détermine l'adresse de livraison et l'imputation de la dépense.</w:t>
      </w:r>
    </w:p>
    <w:p>
      <w:pPr>
        <w:spacing w:after="60" w:line="240"/>
        <w:ind w:left="420" w:hanging="420"/>
      </w:pPr>
      <w:r>
        <w:rPr>
          <w:b/>
          <w:bCs/>
          <w:color w:val="0D5C63"/>
          <w:sz w:val="17"/>
          <w:szCs w:val="17"/>
        </w:rPr>
        <w:t xml:space="preserve">R5   </w:t>
      </w:r>
      <w:r>
        <w:rPr>
          <w:sz w:val="17"/>
          <w:szCs w:val="17"/>
        </w:rPr>
        <w:t xml:space="preserve">Renseigner la </w:t>
      </w:r>
      <w:r>
        <w:rPr>
          <w:b/>
          <w:bCs/>
          <w:sz w:val="17"/>
          <w:szCs w:val="17"/>
        </w:rPr>
        <w:t xml:space="preserve">référence interne</w:t>
      </w:r>
      <w:r>
        <w:rPr>
          <w:sz w:val="17"/>
          <w:szCs w:val="17"/>
        </w:rPr>
        <w:t xml:space="preserve">, le nom du contact et un </w:t>
      </w:r>
      <w:r>
        <w:rPr>
          <w:b/>
          <w:bCs/>
          <w:sz w:val="17"/>
          <w:szCs w:val="17"/>
        </w:rPr>
        <w:t xml:space="preserve">téléphone joignable</w:t>
      </w:r>
      <w:r>
        <w:rPr>
          <w:sz w:val="17"/>
          <w:szCs w:val="17"/>
        </w:rPr>
        <w:t xml:space="preserve"> au moment de valider.</w:t>
      </w:r>
    </w:p>
    <w:p>
      <w:pPr>
        <w:spacing w:after="60" w:line="240"/>
        <w:ind w:left="420" w:hanging="420"/>
      </w:pPr>
      <w:r>
        <w:rPr>
          <w:b/>
          <w:bCs/>
          <w:color w:val="0D5C63"/>
          <w:sz w:val="17"/>
          <w:szCs w:val="17"/>
        </w:rPr>
        <w:t xml:space="preserve">R6   </w:t>
      </w:r>
      <w:r>
        <w:rPr>
          <w:sz w:val="17"/>
          <w:szCs w:val="17"/>
        </w:rPr>
        <w:t xml:space="preserve">Signaler toute </w:t>
      </w:r>
      <w:r>
        <w:rPr>
          <w:b/>
          <w:bCs/>
          <w:sz w:val="17"/>
          <w:szCs w:val="17"/>
        </w:rPr>
        <w:t xml:space="preserve">anomalie de livraison sous 48 heures</w:t>
      </w:r>
      <w:r>
        <w:rPr>
          <w:sz w:val="17"/>
          <w:szCs w:val="17"/>
        </w:rPr>
        <w:t xml:space="preserve">, réserves portées sur le bon de livraison.</w:t>
      </w:r>
    </w:p>
    <w:p>
      <w:pPr>
        <w:spacing w:after="70" w:line="240"/>
      </w:pPr>
      <w:r>
        <w:rPr>
          <w:color w:val="5B6C72"/>
          <w:sz w:val="16"/>
          <w:szCs w:val="16"/>
        </w:rPr>
        <w:t xml:space="preserve">Le webshop est réservé à un usage professionnel. Les identifiants sont personnels et ne se partagent pas : chaque commande est nominative.</w:t>
      </w:r>
    </w:p>
    <w:p>
      <w:pPr>
        <w:pStyle w:val="Heading2"/>
        <w:keepNext/>
        <w:pBdr>
          <w:top w:val="single" w:color="D3DBDB" w:sz="4" w:space="5"/>
        </w:pBdr>
        <w:spacing w:after="80" w:before="200"/>
      </w:pPr>
      <w:r>
        <w:rPr>
          <w:b/>
          <w:bCs/>
          <w:color w:val="0D5C63"/>
          <w:sz w:val="22"/>
          <w:szCs w:val="22"/>
        </w:rPr>
        <w:t xml:space="preserve">3   </w:t>
      </w:r>
      <w:r>
        <w:rPr>
          <w:b/>
          <w:bCs/>
          <w:sz w:val="22"/>
          <w:szCs w:val="22"/>
        </w:rPr>
        <w:t xml:space="preserve">Se connecter et choisir le bon compte</w:t>
      </w:r>
    </w:p>
    <w:p>
      <w:pPr>
        <w:spacing w:after="70" w:line="250"/>
      </w:pPr>
      <w:r>
        <w:rPr>
          <w:sz w:val="18"/>
          <w:szCs w:val="18"/>
        </w:rPr>
        <w:t xml:space="preserve">Connectez-vous sur </w:t>
      </w:r>
      <w:r>
        <w:rPr>
          <w:rFonts w:ascii="Consolas" w:cs="Consolas" w:eastAsia="Consolas" w:hAnsi="Consolas"/>
          <w:color w:val="0D5C63"/>
          <w:sz w:val="16"/>
          <w:szCs w:val="16"/>
        </w:rPr>
        <w:t xml:space="preserve">www.lyreco.com/webshop</w:t>
      </w:r>
      <w:r>
        <w:rPr>
          <w:sz w:val="18"/>
          <w:szCs w:val="18"/>
        </w:rPr>
        <w:t xml:space="preserve">, espace </w:t>
      </w:r>
      <w:r>
        <w:rPr>
          <w:rFonts w:ascii="Consolas" w:cs="Consolas" w:eastAsia="Consolas" w:hAnsi="Consolas"/>
          <w:color w:val="0D5C63"/>
          <w:sz w:val="16"/>
          <w:szCs w:val="16"/>
        </w:rPr>
        <w:t xml:space="preserve">Utilisateur</w:t>
      </w:r>
      <w:r>
        <w:rPr>
          <w:sz w:val="18"/>
          <w:szCs w:val="18"/>
        </w:rPr>
        <w:t xml:space="preserve">. L'identifiant est votre numéro de compte suivi de vos initiales, par exemple </w:t>
      </w:r>
      <w:r>
        <w:rPr>
          <w:rFonts w:ascii="Consolas" w:cs="Consolas" w:eastAsia="Consolas" w:hAnsi="Consolas"/>
          <w:color w:val="0D5C63"/>
          <w:sz w:val="16"/>
          <w:szCs w:val="16"/>
        </w:rPr>
        <w:t xml:space="preserve">4765875XY</w:t>
      </w:r>
      <w:r>
        <w:rPr>
          <w:sz w:val="18"/>
          <w:szCs w:val="18"/>
        </w:rPr>
        <w:t xml:space="preserve">. Mot de passe oublié : lien de réinitialisation sur la page de connexion.</w:t>
      </w:r>
    </w:p>
    <w:p>
      <w:pPr>
        <w:spacing w:after="70" w:line="250"/>
      </w:pPr>
      <w:r>
        <w:rPr>
          <w:sz w:val="18"/>
          <w:szCs w:val="18"/>
        </w:rPr>
        <w:t xml:space="preserve">Le bandeau en haut de l'écran affiche le compte actif : </w:t>
      </w:r>
      <w:r>
        <w:rPr>
          <w:rFonts w:ascii="Consolas" w:cs="Consolas" w:eastAsia="Consolas" w:hAnsi="Consolas"/>
          <w:color w:val="0D5C63"/>
          <w:sz w:val="16"/>
          <w:szCs w:val="16"/>
        </w:rPr>
        <w:t xml:space="preserve">Compte : 4765875 · AUDIKA · C0092 · 1 rue du Général Fauconnet · 21000 DIJON</w:t>
      </w:r>
      <w:r>
        <w:rPr>
          <w:sz w:val="18"/>
          <w:szCs w:val="18"/>
        </w:rPr>
        <w:t xml:space="preserve">. Vérifiez qu'il correspond bien au centre à livrer. Pour en changer :</w:t>
      </w:r>
    </w:p>
    <w:p>
      <w:pPr>
        <w:pStyle w:val="ListParagraph"/>
        <w:numPr>
          <w:ilvl w:val="0"/>
          <w:numId w:val="2"/>
        </w:numPr>
        <w:spacing w:after="40" w:line="250"/>
      </w:pPr>
      <w:r>
        <w:rPr>
          <w:sz w:val="18"/>
          <w:szCs w:val="18"/>
        </w:rPr>
        <w:t xml:space="preserve">Cliquer sur </w:t>
      </w:r>
      <w:r>
        <w:rPr>
          <w:rFonts w:ascii="Consolas" w:cs="Consolas" w:eastAsia="Consolas" w:hAnsi="Consolas"/>
          <w:color w:val="0D5C63"/>
          <w:sz w:val="16"/>
          <w:szCs w:val="16"/>
        </w:rPr>
        <w:t xml:space="preserve">Changer de compte</w:t>
      </w:r>
      <w:r>
        <w:rPr>
          <w:sz w:val="18"/>
          <w:szCs w:val="18"/>
        </w:rPr>
        <w:t xml:space="preserve">.</w:t>
      </w:r>
    </w:p>
    <w:p>
      <w:pPr>
        <w:pStyle w:val="ListParagraph"/>
        <w:numPr>
          <w:ilvl w:val="0"/>
          <w:numId w:val="2"/>
        </w:numPr>
        <w:spacing w:after="40" w:line="250"/>
      </w:pPr>
      <w:r>
        <w:rPr>
          <w:sz w:val="18"/>
          <w:szCs w:val="18"/>
        </w:rPr>
        <w:t xml:space="preserve">Déplier la hiérarchie, ou saisir le numéro dans </w:t>
      </w:r>
      <w:r>
        <w:rPr>
          <w:rFonts w:ascii="Consolas" w:cs="Consolas" w:eastAsia="Consolas" w:hAnsi="Consolas"/>
          <w:color w:val="0D5C63"/>
          <w:sz w:val="16"/>
          <w:szCs w:val="16"/>
        </w:rPr>
        <w:t xml:space="preserve">Chercher un numéro de compte</w:t>
      </w:r>
      <w:r>
        <w:rPr>
          <w:sz w:val="18"/>
          <w:szCs w:val="18"/>
        </w:rPr>
        <w:t xml:space="preserve"> puis </w:t>
      </w:r>
      <w:r>
        <w:rPr>
          <w:rFonts w:ascii="Consolas" w:cs="Consolas" w:eastAsia="Consolas" w:hAnsi="Consolas"/>
          <w:color w:val="0D5C63"/>
          <w:sz w:val="16"/>
          <w:szCs w:val="16"/>
        </w:rPr>
        <w:t xml:space="preserve">Chercher</w:t>
      </w:r>
      <w:r>
        <w:rPr>
          <w:sz w:val="18"/>
          <w:szCs w:val="18"/>
        </w:rPr>
        <w:t xml:space="preserve">.</w:t>
      </w:r>
    </w:p>
    <w:p>
      <w:pPr>
        <w:pStyle w:val="ListParagraph"/>
        <w:numPr>
          <w:ilvl w:val="0"/>
          <w:numId w:val="2"/>
        </w:numPr>
        <w:spacing w:after="40" w:line="250"/>
      </w:pPr>
      <w:r>
        <w:rPr>
          <w:sz w:val="18"/>
          <w:szCs w:val="18"/>
        </w:rPr>
        <w:t xml:space="preserve">Sur la ligne du centre — </w:t>
      </w:r>
      <w:r>
        <w:rPr>
          <w:b/>
          <w:bCs/>
          <w:sz w:val="18"/>
          <w:szCs w:val="18"/>
        </w:rPr>
        <w:t xml:space="preserve">affichée en bleu</w:t>
      </w:r>
      <w:r>
        <w:rPr>
          <w:sz w:val="18"/>
          <w:szCs w:val="18"/>
        </w:rPr>
        <w:t xml:space="preserve"> — cliquer sur </w:t>
      </w:r>
      <w:r>
        <w:rPr>
          <w:rFonts w:ascii="Consolas" w:cs="Consolas" w:eastAsia="Consolas" w:hAnsi="Consolas"/>
          <w:color w:val="0D5C63"/>
          <w:sz w:val="16"/>
          <w:szCs w:val="16"/>
        </w:rPr>
        <w:t xml:space="preserve">Sélectionner</w:t>
      </w:r>
      <w:r>
        <w:rPr>
          <w:sz w:val="18"/>
          <w:szCs w:val="18"/>
        </w:rPr>
        <w:t xml:space="preserve">, puis contrôler le bandeau.</w:t>
      </w:r>
    </w:p>
    <w:p>
      <w:pPr>
        <w:spacing w:after="70" w:line="250"/>
      </w:pPr>
      <w:r>
        <w:rPr>
          <w:sz w:val="18"/>
          <w:szCs w:val="18"/>
        </w:rPr>
        <w:t xml:space="preserve">Dans la hiérarchie, les libellés en </w:t>
      </w:r>
      <w:r>
        <w:rPr>
          <w:b/>
          <w:bCs/>
          <w:sz w:val="18"/>
          <w:szCs w:val="18"/>
        </w:rPr>
        <w:t xml:space="preserve">noir</w:t>
      </w:r>
      <w:r>
        <w:rPr>
          <w:sz w:val="18"/>
          <w:szCs w:val="18"/>
        </w:rPr>
        <w:t xml:space="preserve"> sont des niveaux d'organisation (administrateur, siège, réseau, direction régionale) : ils ne reçoivent pas de livraison. Seuls les libellés en </w:t>
      </w:r>
      <w:r>
        <w:rPr>
          <w:b/>
          <w:bCs/>
          <w:sz w:val="18"/>
          <w:szCs w:val="18"/>
        </w:rPr>
        <w:t xml:space="preserve">bleu</w:t>
      </w:r>
      <w:r>
        <w:rPr>
          <w:sz w:val="18"/>
          <w:szCs w:val="18"/>
        </w:rPr>
        <w:t xml:space="preserve"> sont des adresses de livraison et peuvent commander.</w:t>
      </w:r>
    </w:p>
    <w:tbl>
      <w:tblPr>
        <w:tblW w:type="dxa" w:w="10064"/>
        <w:tblBorders>
          <w:top w:val="none"/>
          <w:left w:val="single" w:color="94322B" w:sz="18"/>
          <w:bottom w:val="none"/>
          <w:right w:val="none"/>
          <w:insideH w:val="none"/>
          <w:insideV w:val="none"/>
        </w:tblBorders>
      </w:tblPr>
      <w:tblGrid>
        <w:gridCol w:w="10064"/>
      </w:tblGrid>
      <w:tr>
        <w:tc>
          <w:tcPr>
            <w:tcW w:type="dxa" w:w="10064"/>
            <w:shd w:fill="F8E7E4" w:color="auto" w:val="clear"/>
            <w:tcMar>
              <w:top w:type="dxa" w:w="90"/>
              <w:left w:type="dxa" w:w="140"/>
              <w:bottom w:type="dxa" w:w="90"/>
              <w:right w:type="dxa" w:w="140"/>
            </w:tcMar>
          </w:tcPr>
          <w:p>
            <w:pPr>
              <w:spacing w:after="40"/>
            </w:pPr>
            <w:r>
              <w:rPr>
                <w:b/>
                <w:bCs/>
                <w:color w:val="94322B"/>
                <w:sz w:val="14"/>
                <w:szCs w:val="14"/>
              </w:rPr>
              <w:t xml:space="preserve">MESSAGE BLOQUANT</w:t>
            </w:r>
          </w:p>
          <w:p>
            <w:pPr>
              <w:spacing w:after="0" w:line="235"/>
            </w:pPr>
            <w:r>
              <w:rPr>
                <w:sz w:val="17"/>
                <w:szCs w:val="17"/>
              </w:rPr>
              <w:t xml:space="preserve">« Vous êtes connecté sur un compte qui ne peut pas commander » : vous êtes sur un niveau d'organisation, pas sur un centre. Ce n'est pas une panne — basculez via </w:t>
            </w:r>
            <w:r>
              <w:rPr>
                <w:rFonts w:ascii="Consolas" w:cs="Consolas" w:eastAsia="Consolas" w:hAnsi="Consolas"/>
                <w:color w:val="0D5C63"/>
                <w:sz w:val="17"/>
                <w:szCs w:val="17"/>
              </w:rPr>
              <w:t xml:space="preserve">Changer de compte</w:t>
            </w:r>
            <w:r>
              <w:rPr>
                <w:sz w:val="17"/>
                <w:szCs w:val="17"/>
              </w:rPr>
              <w:t xml:space="preserve">.</w:t>
            </w:r>
          </w:p>
        </w:tc>
      </w:tr>
    </w:tbl>
    <w:p>
      <w:pPr>
        <w:spacing w:after="60"/>
      </w:pPr>
    </w:p>
    <w:tbl>
      <w:tblPr>
        <w:tblW w:type="dxa" w:w="10064"/>
        <w:tblBorders>
          <w:top w:val="none"/>
          <w:left w:val="single" w:color="8A5A12" w:sz="18"/>
          <w:bottom w:val="none"/>
          <w:right w:val="none"/>
          <w:insideH w:val="none"/>
          <w:insideV w:val="none"/>
        </w:tblBorders>
      </w:tblPr>
      <w:tblGrid>
        <w:gridCol w:w="10064"/>
      </w:tblGrid>
      <w:tr>
        <w:tc>
          <w:tcPr>
            <w:tcW w:type="dxa" w:w="10064"/>
            <w:shd w:fill="F7EEDE" w:color="auto" w:val="clear"/>
            <w:tcMar>
              <w:top w:type="dxa" w:w="90"/>
              <w:left w:type="dxa" w:w="140"/>
              <w:bottom w:type="dxa" w:w="90"/>
              <w:right w:type="dxa" w:w="140"/>
            </w:tcMar>
          </w:tcPr>
          <w:p>
            <w:pPr>
              <w:spacing w:after="40"/>
            </w:pPr>
            <w:r>
              <w:rPr>
                <w:b/>
                <w:bCs/>
                <w:color w:val="8A5A12"/>
                <w:sz w:val="14"/>
                <w:szCs w:val="14"/>
              </w:rPr>
              <w:t xml:space="preserve">POINT DE VIGILANCE</w:t>
            </w:r>
          </w:p>
          <w:p>
            <w:pPr>
              <w:spacing w:after="0" w:line="235"/>
            </w:pPr>
            <w:r>
              <w:rPr>
                <w:sz w:val="17"/>
                <w:szCs w:val="17"/>
              </w:rPr>
              <w:t xml:space="preserve">Changer de compte en cours de commande vide ou recalcule le panier : tarifs, catalogue et budgets sont propres à chaque compte. Choisissez le compte avant de remplir le panier.</w:t>
            </w:r>
          </w:p>
        </w:tc>
      </w:tr>
    </w:tbl>
    <w:p>
      <w:r>
        <w:br w:type="page"/>
      </w:r>
    </w:p>
    <w:p>
      <w:pPr>
        <w:pStyle w:val="Heading2"/>
        <w:keepNext/>
        <w:pBdr>
          <w:top w:val="single" w:color="D3DBDB" w:sz="4" w:space="5"/>
        </w:pBdr>
        <w:spacing w:after="80" w:before="200"/>
      </w:pPr>
      <w:r>
        <w:rPr>
          <w:b/>
          <w:bCs/>
          <w:color w:val="0D5C63"/>
          <w:sz w:val="22"/>
          <w:szCs w:val="22"/>
        </w:rPr>
        <w:t xml:space="preserve">4   </w:t>
      </w:r>
      <w:r>
        <w:rPr>
          <w:b/>
          <w:bCs/>
          <w:sz w:val="22"/>
          <w:szCs w:val="22"/>
        </w:rPr>
        <w:t xml:space="preserve">Constituer le panier</w:t>
      </w:r>
    </w:p>
    <w:p>
      <w:pPr>
        <w:pStyle w:val="Heading3"/>
        <w:keepNext/>
        <w:spacing w:after="50" w:before="100"/>
      </w:pPr>
      <w:r>
        <w:rPr>
          <w:b/>
          <w:bCs/>
          <w:color w:val="5B6C72"/>
          <w:sz w:val="18"/>
          <w:szCs w:val="18"/>
        </w:rPr>
        <w:t xml:space="preserve">a. Listes de favoris — voie à privilégier</w:t>
      </w:r>
    </w:p>
    <w:p>
      <w:pPr>
        <w:spacing w:after="70" w:line="250"/>
      </w:pPr>
      <w:r>
        <w:rPr>
          <w:rFonts w:ascii="Consolas" w:cs="Consolas" w:eastAsia="Consolas" w:hAnsi="Consolas"/>
          <w:color w:val="0D5C63"/>
          <w:sz w:val="16"/>
          <w:szCs w:val="16"/>
        </w:rPr>
        <w:t xml:space="preserve">Mes favoris › Produits préférés</w:t>
      </w:r>
      <w:r>
        <w:rPr>
          <w:sz w:val="18"/>
          <w:szCs w:val="18"/>
        </w:rPr>
        <w:t xml:space="preserve"> : les listes partagées du réseau contiennent les produits validés par le siège. Ouvrez la liste, saisissez les quantités, ajoutez au panier.</w:t>
      </w:r>
    </w:p>
    <w:p>
      <w:pPr>
        <w:pStyle w:val="Heading3"/>
        <w:keepNext/>
        <w:spacing w:after="50" w:before="100"/>
      </w:pPr>
      <w:r>
        <w:rPr>
          <w:b/>
          <w:bCs/>
          <w:color w:val="5B6C72"/>
          <w:sz w:val="18"/>
          <w:szCs w:val="18"/>
        </w:rPr>
        <w:t xml:space="preserve">b. Commande rapide — pour un réassort connu</w:t>
      </w:r>
    </w:p>
    <w:p>
      <w:pPr>
        <w:spacing w:after="70" w:line="250"/>
      </w:pPr>
      <w:r>
        <w:rPr>
          <w:rFonts w:ascii="Consolas" w:cs="Consolas" w:eastAsia="Consolas" w:hAnsi="Consolas"/>
          <w:color w:val="0D5C63"/>
          <w:sz w:val="16"/>
          <w:szCs w:val="16"/>
        </w:rPr>
        <w:t xml:space="preserve">Commande rapide</w:t>
      </w:r>
      <w:r>
        <w:rPr>
          <w:sz w:val="18"/>
          <w:szCs w:val="18"/>
        </w:rPr>
        <w:t xml:space="preserve"> (icône chronomètre à droite de la barre de recherche) : </w:t>
      </w:r>
      <w:r>
        <w:rPr>
          <w:rFonts w:ascii="Consolas" w:cs="Consolas" w:eastAsia="Consolas" w:hAnsi="Consolas"/>
          <w:color w:val="0D5C63"/>
          <w:sz w:val="16"/>
          <w:szCs w:val="16"/>
        </w:rPr>
        <w:t xml:space="preserve">Via les références produits</w:t>
      </w:r>
      <w:r>
        <w:rPr>
          <w:sz w:val="18"/>
          <w:szCs w:val="18"/>
        </w:rPr>
        <w:t xml:space="preserve"> pour saisir directement les références et les quantités, ou </w:t>
      </w:r>
      <w:r>
        <w:rPr>
          <w:rFonts w:ascii="Consolas" w:cs="Consolas" w:eastAsia="Consolas" w:hAnsi="Consolas"/>
          <w:color w:val="0D5C63"/>
          <w:sz w:val="16"/>
          <w:szCs w:val="16"/>
        </w:rPr>
        <w:t xml:space="preserve">Via un fichier</w:t>
      </w:r>
      <w:r>
        <w:rPr>
          <w:sz w:val="18"/>
          <w:szCs w:val="18"/>
        </w:rPr>
        <w:t xml:space="preserve"> pour importer un fichier Excel/CSV.</w:t>
      </w:r>
    </w:p>
    <w:p>
      <w:pPr>
        <w:pStyle w:val="Heading3"/>
        <w:keepNext/>
        <w:spacing w:after="50" w:before="100"/>
      </w:pPr>
      <w:r>
        <w:rPr>
          <w:b/>
          <w:bCs/>
          <w:color w:val="5B6C72"/>
          <w:sz w:val="18"/>
          <w:szCs w:val="18"/>
        </w:rPr>
        <w:t xml:space="preserve">c. Catalogue et recherche</w:t>
      </w:r>
    </w:p>
    <w:p>
      <w:pPr>
        <w:spacing w:after="70" w:line="250"/>
      </w:pPr>
      <w:r>
        <w:rPr>
          <w:sz w:val="18"/>
          <w:szCs w:val="18"/>
        </w:rPr>
        <w:t xml:space="preserve">Recherche par mot-clé ou par référence. Pour les consommables d'impression, l'</w:t>
      </w:r>
      <w:r>
        <w:rPr>
          <w:rFonts w:ascii="Consolas" w:cs="Consolas" w:eastAsia="Consolas" w:hAnsi="Consolas"/>
          <w:color w:val="0D5C63"/>
          <w:sz w:val="16"/>
          <w:szCs w:val="16"/>
        </w:rPr>
        <w:t xml:space="preserve">Outil de recherche de cartouche</w:t>
      </w:r>
      <w:r>
        <w:rPr>
          <w:sz w:val="18"/>
          <w:szCs w:val="18"/>
        </w:rPr>
        <w:t xml:space="preserve"> donne la référence exacte à partir du modèle d'imprimante. Une commande passée peut être rejouée depuis </w:t>
      </w:r>
      <w:r>
        <w:rPr>
          <w:rFonts w:ascii="Consolas" w:cs="Consolas" w:eastAsia="Consolas" w:hAnsi="Consolas"/>
          <w:color w:val="0D5C63"/>
          <w:sz w:val="16"/>
          <w:szCs w:val="16"/>
        </w:rPr>
        <w:t xml:space="preserve">Mon historique de commande</w:t>
      </w:r>
      <w:r>
        <w:rPr>
          <w:sz w:val="18"/>
          <w:szCs w:val="18"/>
        </w:rPr>
        <w:t xml:space="preserve">.</w:t>
      </w:r>
    </w:p>
    <w:p>
      <w:pPr>
        <w:spacing w:after="70" w:line="250"/>
      </w:pPr>
      <w:r>
        <w:rPr>
          <w:sz w:val="18"/>
          <w:szCs w:val="18"/>
        </w:rPr>
        <w:t xml:space="preserve">Un panier peut être préparé puis repris plus tard : </w:t>
      </w:r>
      <w:r>
        <w:rPr>
          <w:rFonts w:ascii="Consolas" w:cs="Consolas" w:eastAsia="Consolas" w:hAnsi="Consolas"/>
          <w:color w:val="0D5C63"/>
          <w:sz w:val="16"/>
          <w:szCs w:val="16"/>
        </w:rPr>
        <w:t xml:space="preserve">Mettre la commande en attente</w:t>
      </w:r>
      <w:r>
        <w:rPr>
          <w:sz w:val="18"/>
          <w:szCs w:val="18"/>
        </w:rPr>
        <w:t xml:space="preserve">, avec un titre explicite (C0092 – réappro mars). Utilisez-le pendant la collecte des besoins du centre plutôt que de multiplier les petites commandes.</w:t>
      </w:r>
    </w:p>
    <w:tbl>
      <w:tblPr>
        <w:tblW w:type="dxa" w:w="10064"/>
        <w:tblBorders>
          <w:top w:val="none"/>
          <w:left w:val="single" w:color="8A5A12" w:sz="18"/>
          <w:bottom w:val="none"/>
          <w:right w:val="none"/>
          <w:insideH w:val="none"/>
          <w:insideV w:val="none"/>
        </w:tblBorders>
      </w:tblPr>
      <w:tblGrid>
        <w:gridCol w:w="10064"/>
      </w:tblGrid>
      <w:tr>
        <w:tc>
          <w:tcPr>
            <w:tcW w:type="dxa" w:w="10064"/>
            <w:shd w:fill="F7EEDE" w:color="auto" w:val="clear"/>
            <w:tcMar>
              <w:top w:type="dxa" w:w="90"/>
              <w:left w:type="dxa" w:w="140"/>
              <w:bottom w:type="dxa" w:w="90"/>
              <w:right w:type="dxa" w:w="140"/>
            </w:tcMar>
          </w:tcPr>
          <w:p>
            <w:pPr>
              <w:spacing w:after="40"/>
            </w:pPr>
            <w:r>
              <w:rPr>
                <w:b/>
                <w:bCs/>
                <w:color w:val="8A5A12"/>
                <w:sz w:val="14"/>
                <w:szCs w:val="14"/>
              </w:rPr>
              <w:t xml:space="preserve">POINT DE VIGILANCE</w:t>
            </w:r>
          </w:p>
          <w:p>
            <w:pPr>
              <w:spacing w:after="0" w:line="235"/>
            </w:pPr>
            <w:r>
              <w:rPr>
                <w:sz w:val="17"/>
                <w:szCs w:val="17"/>
              </w:rPr>
              <w:t xml:space="preserve">Contrôlez l'</w:t>
            </w:r>
            <w:r>
              <w:rPr>
                <w:b/>
                <w:bCs/>
                <w:sz w:val="17"/>
                <w:szCs w:val="17"/>
              </w:rPr>
              <w:t xml:space="preserve">unité de vente</w:t>
            </w:r>
            <w:r>
              <w:rPr>
                <w:sz w:val="17"/>
                <w:szCs w:val="17"/>
              </w:rPr>
              <w:t xml:space="preserve"> : boîte de 100, lot de 12, carton de 5 ramettes. La quantité saisie porte sur le conditionnement affiché, pas sur l'unité. C'est la première cause de sur-commande.</w:t>
            </w:r>
          </w:p>
        </w:tc>
      </w:tr>
    </w:tbl>
    <w:p>
      <w:pPr>
        <w:pStyle w:val="Heading2"/>
        <w:keepNext/>
        <w:pBdr>
          <w:top w:val="single" w:color="D3DBDB" w:sz="4" w:space="5"/>
        </w:pBdr>
        <w:spacing w:after="80" w:before="200"/>
      </w:pPr>
      <w:r>
        <w:rPr>
          <w:b/>
          <w:bCs/>
          <w:color w:val="0D5C63"/>
          <w:sz w:val="22"/>
          <w:szCs w:val="22"/>
        </w:rPr>
        <w:t xml:space="preserve">5   </w:t>
      </w:r>
      <w:r>
        <w:rPr>
          <w:b/>
          <w:bCs/>
          <w:sz w:val="22"/>
          <w:szCs w:val="22"/>
        </w:rPr>
        <w:t xml:space="preserve">Valider la commande</w:t>
      </w:r>
    </w:p>
    <w:p>
      <w:pPr>
        <w:pStyle w:val="ListParagraph"/>
        <w:numPr>
          <w:ilvl w:val="0"/>
          <w:numId w:val="3"/>
        </w:numPr>
        <w:spacing w:after="40" w:line="250"/>
      </w:pPr>
      <w:r>
        <w:rPr>
          <w:sz w:val="18"/>
          <w:szCs w:val="18"/>
        </w:rPr>
        <w:t xml:space="preserve">Dans le panier : </w:t>
      </w:r>
      <w:r>
        <w:rPr>
          <w:rFonts w:ascii="Consolas" w:cs="Consolas" w:eastAsia="Consolas" w:hAnsi="Consolas"/>
          <w:color w:val="0D5C63"/>
          <w:sz w:val="16"/>
          <w:szCs w:val="16"/>
        </w:rPr>
        <w:t xml:space="preserve">Afficher</w:t>
      </w:r>
      <w:r>
        <w:rPr>
          <w:sz w:val="18"/>
          <w:szCs w:val="18"/>
        </w:rPr>
        <w:t xml:space="preserve">, puis </w:t>
      </w:r>
      <w:r>
        <w:rPr>
          <w:rFonts w:ascii="Consolas" w:cs="Consolas" w:eastAsia="Consolas" w:hAnsi="Consolas"/>
          <w:color w:val="0D5C63"/>
          <w:sz w:val="16"/>
          <w:szCs w:val="16"/>
        </w:rPr>
        <w:t xml:space="preserve">Voir mes offres et valider ma commande</w:t>
      </w:r>
      <w:r>
        <w:rPr>
          <w:sz w:val="18"/>
          <w:szCs w:val="18"/>
        </w:rPr>
        <w:t xml:space="preserve">.</w:t>
      </w:r>
    </w:p>
    <w:p>
      <w:pPr>
        <w:pStyle w:val="ListParagraph"/>
        <w:numPr>
          <w:ilvl w:val="0"/>
          <w:numId w:val="3"/>
        </w:numPr>
        <w:spacing w:after="40" w:line="250"/>
      </w:pPr>
      <w:r>
        <w:rPr>
          <w:rFonts w:ascii="Consolas" w:cs="Consolas" w:eastAsia="Consolas" w:hAnsi="Consolas"/>
          <w:color w:val="0D5C63"/>
          <w:sz w:val="16"/>
          <w:szCs w:val="16"/>
        </w:rPr>
        <w:t xml:space="preserve">Suivant</w:t>
      </w:r>
      <w:r>
        <w:rPr>
          <w:sz w:val="18"/>
          <w:szCs w:val="18"/>
        </w:rPr>
        <w:t xml:space="preserve"> pour accéder aux informations de livraison : adresse, nom du contact du centre, téléphone joignable par le chauffeur.</w:t>
      </w:r>
    </w:p>
    <w:p>
      <w:pPr>
        <w:pStyle w:val="ListParagraph"/>
        <w:numPr>
          <w:ilvl w:val="0"/>
          <w:numId w:val="3"/>
        </w:numPr>
        <w:spacing w:after="40" w:line="250"/>
      </w:pPr>
      <w:r>
        <w:rPr>
          <w:sz w:val="18"/>
          <w:szCs w:val="18"/>
        </w:rPr>
        <w:t xml:space="preserve">Renseigner la référence interne, puis confirmer. Un e-mail de confirmation vous parvient avec le numéro de commande et la date de livraison estimée.</w:t>
      </w:r>
    </w:p>
    <w:p>
      <w:pPr>
        <w:spacing w:after="70" w:line="250"/>
      </w:pPr>
      <w:r>
        <w:rPr>
          <w:sz w:val="18"/>
          <w:szCs w:val="18"/>
        </w:rPr>
        <w:t xml:space="preserve">Commande validée avant 18 h : livraison le lendemain dans 99 % des cas.</w:t>
      </w:r>
    </w:p>
    <w:p>
      <w:pPr>
        <w:spacing w:after="70" w:line="250"/>
      </w:pPr>
      <w:r>
        <w:rPr>
          <w:sz w:val="18"/>
          <w:szCs w:val="18"/>
        </w:rPr>
        <w:t xml:space="preserve">Si le message « </w:t>
      </w:r>
      <w:r>
        <w:rPr>
          <w:b/>
          <w:bCs/>
          <w:sz w:val="18"/>
          <w:szCs w:val="18"/>
        </w:rPr>
        <w:t xml:space="preserve">reçu, en attente de validation</w:t>
      </w:r>
      <w:r>
        <w:rPr>
          <w:sz w:val="18"/>
          <w:szCs w:val="18"/>
        </w:rPr>
        <w:t xml:space="preserve"> » s'affiche, la commande n'est pas encore partie chez Lyreco : elle attend votre valideur, qui reçoit un e-mail et peut la valider, la modifier ou la refuser. Ce contrôle se déclenche en cas de dépassement de budget, de produit signalé comme contrôlé, ou selon votre profil. Délai de traitement attendu : </w:t>
      </w:r>
      <w:r>
        <w:rPr>
          <w:i/>
          <w:iCs/>
          <w:sz w:val="18"/>
          <w:szCs w:val="18"/>
          <w:highlight w:val="yellow"/>
          <w:highlightCs w:val="yellow"/>
        </w:rPr>
        <w:t xml:space="preserve">à compléter</w:t>
      </w:r>
      <w:r>
        <w:rPr>
          <w:sz w:val="18"/>
          <w:szCs w:val="18"/>
        </w:rPr>
        <w:t xml:space="preserve"> — au-delà, relancez votre valideur.</w:t>
      </w:r>
    </w:p>
    <w:p>
      <w:pPr>
        <w:pStyle w:val="Heading2"/>
        <w:keepNext/>
        <w:pBdr>
          <w:top w:val="single" w:color="D3DBDB" w:sz="4" w:space="5"/>
        </w:pBdr>
        <w:spacing w:after="80" w:before="200"/>
      </w:pPr>
      <w:r>
        <w:rPr>
          <w:b/>
          <w:bCs/>
          <w:color w:val="0D5C63"/>
          <w:sz w:val="22"/>
          <w:szCs w:val="22"/>
        </w:rPr>
        <w:t xml:space="preserve">6   </w:t>
      </w:r>
      <w:r>
        <w:rPr>
          <w:b/>
          <w:bCs/>
          <w:sz w:val="22"/>
          <w:szCs w:val="22"/>
        </w:rPr>
        <w:t xml:space="preserve">Suivre la commande</w:t>
      </w:r>
    </w:p>
    <w:p>
      <w:pPr>
        <w:spacing w:after="70" w:line="250"/>
      </w:pPr>
      <w:r>
        <w:rPr>
          <w:rFonts w:ascii="Consolas" w:cs="Consolas" w:eastAsia="Consolas" w:hAnsi="Consolas"/>
          <w:color w:val="0D5C63"/>
          <w:sz w:val="16"/>
          <w:szCs w:val="16"/>
        </w:rPr>
        <w:t xml:space="preserve">Commandes en cours</w:t>
      </w:r>
      <w:r>
        <w:rPr>
          <w:sz w:val="18"/>
          <w:szCs w:val="18"/>
        </w:rPr>
        <w:t xml:space="preserve"> affiche les commandes transmises et celles en attente de validation ; </w:t>
      </w:r>
      <w:r>
        <w:rPr>
          <w:rFonts w:ascii="Consolas" w:cs="Consolas" w:eastAsia="Consolas" w:hAnsi="Consolas"/>
          <w:color w:val="0D5C63"/>
          <w:sz w:val="16"/>
          <w:szCs w:val="16"/>
        </w:rPr>
        <w:t xml:space="preserve">Mon historique de commande</w:t>
      </w:r>
      <w:r>
        <w:rPr>
          <w:sz w:val="18"/>
          <w:szCs w:val="18"/>
        </w:rPr>
        <w:t xml:space="preserve"> permet de rechercher par numéro, date ou produit. Le lien de suivi figure dans l'e-mail de confirmation.</w:t>
      </w:r>
    </w:p>
    <w:p>
      <w:pPr>
        <w:spacing w:after="70" w:line="250"/>
      </w:pPr>
      <w:r>
        <w:rPr>
          <w:sz w:val="18"/>
          <w:szCs w:val="18"/>
        </w:rPr>
        <w:t xml:space="preserve">Une modification ou une annulation doit être demandée </w:t>
      </w:r>
      <w:r>
        <w:rPr>
          <w:b/>
          <w:bCs/>
          <w:sz w:val="18"/>
          <w:szCs w:val="18"/>
        </w:rPr>
        <w:t xml:space="preserve">immédiatement</w:t>
      </w:r>
      <w:r>
        <w:rPr>
          <w:sz w:val="18"/>
          <w:szCs w:val="18"/>
        </w:rPr>
        <w:t xml:space="preserve"> au Service Clients Lyreco. Une fois la préparation lancée, elle relève d'un retour.</w:t>
      </w:r>
    </w:p>
    <w:p>
      <w:pPr>
        <w:pStyle w:val="Heading2"/>
        <w:keepNext/>
        <w:pBdr>
          <w:top w:val="single" w:color="D3DBDB" w:sz="4" w:space="5"/>
        </w:pBdr>
        <w:spacing w:after="80" w:before="200"/>
      </w:pPr>
      <w:r>
        <w:rPr>
          <w:b/>
          <w:bCs/>
          <w:color w:val="0D5C63"/>
          <w:sz w:val="22"/>
          <w:szCs w:val="22"/>
        </w:rPr>
        <w:t xml:space="preserve">7   </w:t>
      </w:r>
      <w:r>
        <w:rPr>
          <w:b/>
          <w:bCs/>
          <w:sz w:val="22"/>
          <w:szCs w:val="22"/>
        </w:rPr>
        <w:t xml:space="preserve">Réceptionner la livraison</w:t>
      </w:r>
    </w:p>
    <w:p>
      <w:pPr>
        <w:pStyle w:val="ListParagraph"/>
        <w:numPr>
          <w:ilvl w:val="0"/>
          <w:numId w:val="4"/>
        </w:numPr>
        <w:spacing w:after="40" w:line="250"/>
      </w:pPr>
      <w:r>
        <w:rPr>
          <w:b/>
          <w:bCs/>
          <w:sz w:val="18"/>
          <w:szCs w:val="18"/>
        </w:rPr>
        <w:t xml:space="preserve">Avant de signer</w:t>
      </w:r>
      <w:r>
        <w:rPr>
          <w:sz w:val="18"/>
          <w:szCs w:val="18"/>
        </w:rPr>
        <w:t xml:space="preserve"> : compter les colis et comparer avec le bon de livraison (BL).</w:t>
      </w:r>
    </w:p>
    <w:p>
      <w:pPr>
        <w:pStyle w:val="ListParagraph"/>
        <w:numPr>
          <w:ilvl w:val="0"/>
          <w:numId w:val="4"/>
        </w:numPr>
        <w:spacing w:after="40" w:line="250"/>
      </w:pPr>
      <w:r>
        <w:rPr>
          <w:b/>
          <w:bCs/>
          <w:sz w:val="18"/>
          <w:szCs w:val="18"/>
        </w:rPr>
        <w:t xml:space="preserve">Colis abîmé</w:t>
      </w:r>
      <w:r>
        <w:rPr>
          <w:sz w:val="18"/>
          <w:szCs w:val="18"/>
        </w:rPr>
        <w:t xml:space="preserve"> : le refuser, ou porter une réserve écrite précise sur le BL — « carton n° 2 éventré, contenu à vérifier ». La mention « sous réserve de déballage » n'a aucune valeur.</w:t>
      </w:r>
    </w:p>
    <w:p>
      <w:pPr>
        <w:pStyle w:val="ListParagraph"/>
        <w:numPr>
          <w:ilvl w:val="0"/>
          <w:numId w:val="4"/>
        </w:numPr>
        <w:spacing w:after="40" w:line="250"/>
      </w:pPr>
      <w:r>
        <w:rPr>
          <w:b/>
          <w:bCs/>
          <w:sz w:val="18"/>
          <w:szCs w:val="18"/>
        </w:rPr>
        <w:t xml:space="preserve">Après déballage</w:t>
      </w:r>
      <w:r>
        <w:rPr>
          <w:sz w:val="18"/>
          <w:szCs w:val="18"/>
        </w:rPr>
        <w:t xml:space="preserve"> : contrôler références et quantités ligne à ligne, photographier tout produit manquant, cassé ou non conforme.</w:t>
      </w:r>
    </w:p>
    <w:p>
      <w:pPr>
        <w:pStyle w:val="ListParagraph"/>
        <w:numPr>
          <w:ilvl w:val="0"/>
          <w:numId w:val="4"/>
        </w:numPr>
        <w:spacing w:after="40" w:line="250"/>
      </w:pPr>
      <w:r>
        <w:rPr>
          <w:b/>
          <w:bCs/>
          <w:sz w:val="18"/>
          <w:szCs w:val="18"/>
        </w:rPr>
        <w:t xml:space="preserve">Livraison sans contact</w:t>
      </w:r>
      <w:r>
        <w:rPr>
          <w:sz w:val="18"/>
          <w:szCs w:val="18"/>
        </w:rPr>
        <w:t xml:space="preserve"> : pas de signature, la preuve est une photo du lieu de dépose et le nom du réceptionnaire.</w:t>
      </w:r>
    </w:p>
    <w:p>
      <w:pPr>
        <w:pStyle w:val="ListParagraph"/>
        <w:numPr>
          <w:ilvl w:val="0"/>
          <w:numId w:val="4"/>
        </w:numPr>
        <w:spacing w:after="40" w:line="250"/>
      </w:pPr>
      <w:r>
        <w:rPr>
          <w:b/>
          <w:bCs/>
          <w:sz w:val="18"/>
          <w:szCs w:val="18"/>
        </w:rPr>
        <w:t xml:space="preserve">Conserver le BL</w:t>
      </w:r>
      <w:r>
        <w:rPr>
          <w:sz w:val="18"/>
          <w:szCs w:val="18"/>
        </w:rPr>
        <w:t xml:space="preserve"> : il est exigé pour toute réclamation et tout retour.</w:t>
      </w:r>
    </w:p>
    <w:p>
      <w:r>
        <w:br w:type="page"/>
      </w:r>
    </w:p>
    <w:p>
      <w:pPr>
        <w:pStyle w:val="Heading2"/>
        <w:keepNext/>
        <w:pBdr>
          <w:top w:val="single" w:color="D3DBDB" w:sz="4" w:space="5"/>
        </w:pBdr>
        <w:spacing w:after="80" w:before="200"/>
      </w:pPr>
      <w:r>
        <w:rPr>
          <w:b/>
          <w:bCs/>
          <w:color w:val="0D5C63"/>
          <w:sz w:val="22"/>
          <w:szCs w:val="22"/>
        </w:rPr>
        <w:t xml:space="preserve">8   </w:t>
      </w:r>
      <w:r>
        <w:rPr>
          <w:b/>
          <w:bCs/>
          <w:sz w:val="22"/>
          <w:szCs w:val="22"/>
        </w:rPr>
        <w:t xml:space="preserve">Anomalies et retours</w:t>
      </w:r>
    </w:p>
    <w:tbl>
      <w:tblPr>
        <w:tblW w:type="dxa" w:w="10064"/>
        <w:tblBorders>
          <w:top w:val="single" w:color="D3DBDB" w:sz="4"/>
          <w:left w:val="single" w:color="D3DBDB" w:sz="4"/>
          <w:bottom w:val="single" w:color="D3DBDB" w:sz="4"/>
          <w:right w:val="single" w:color="D3DBDB" w:sz="4"/>
          <w:insideH w:val="single" w:color="D3DBDB" w:sz="4"/>
          <w:insideV w:val="single" w:color="D3DBDB" w:sz="4"/>
        </w:tblBorders>
      </w:tblPr>
      <w:tblGrid>
        <w:gridCol w:w="2900"/>
        <w:gridCol w:w="5664"/>
        <w:gridCol w:w="1500"/>
      </w:tblGrid>
      <w:tr>
        <w:trPr>
          <w:tblHeader/>
        </w:trPr>
        <w:tc>
          <w:tcPr>
            <w:tcW w:type="dxa" w:w="2900"/>
            <w:shd w:fill="EEF2F1" w:color="auto" w:val="clear"/>
            <w:tcMar>
              <w:top w:type="dxa" w:w="50"/>
              <w:left w:type="dxa" w:w="90"/>
              <w:bottom w:type="dxa" w:w="50"/>
              <w:right w:type="dxa" w:w="90"/>
            </w:tcMar>
          </w:tcPr>
          <w:p>
            <w:pPr>
              <w:spacing w:after="0"/>
            </w:pPr>
            <w:r>
              <w:rPr>
                <w:b/>
                <w:bCs/>
                <w:caps/>
                <w:color w:val="5B6C72"/>
                <w:sz w:val="14"/>
                <w:szCs w:val="14"/>
              </w:rPr>
              <w:t xml:space="preserve">Situation</w:t>
            </w:r>
          </w:p>
        </w:tc>
        <w:tc>
          <w:tcPr>
            <w:tcW w:type="dxa" w:w="5664"/>
            <w:shd w:fill="EEF2F1" w:color="auto" w:val="clear"/>
            <w:tcMar>
              <w:top w:type="dxa" w:w="50"/>
              <w:left w:type="dxa" w:w="90"/>
              <w:bottom w:type="dxa" w:w="50"/>
              <w:right w:type="dxa" w:w="90"/>
            </w:tcMar>
          </w:tcPr>
          <w:p>
            <w:pPr>
              <w:spacing w:after="0"/>
            </w:pPr>
            <w:r>
              <w:rPr>
                <w:b/>
                <w:bCs/>
                <w:caps/>
                <w:color w:val="5B6C72"/>
                <w:sz w:val="14"/>
                <w:szCs w:val="14"/>
              </w:rPr>
              <w:t xml:space="preserve">Ce que vous faites</w:t>
            </w:r>
          </w:p>
        </w:tc>
        <w:tc>
          <w:tcPr>
            <w:tcW w:type="dxa" w:w="1500"/>
            <w:shd w:fill="EEF2F1" w:color="auto" w:val="clear"/>
            <w:tcMar>
              <w:top w:type="dxa" w:w="50"/>
              <w:left w:type="dxa" w:w="90"/>
              <w:bottom w:type="dxa" w:w="50"/>
              <w:right w:type="dxa" w:w="90"/>
            </w:tcMar>
          </w:tcPr>
          <w:p>
            <w:pPr>
              <w:spacing w:after="0"/>
            </w:pPr>
            <w:r>
              <w:rPr>
                <w:b/>
                <w:bCs/>
                <w:caps/>
                <w:color w:val="5B6C72"/>
                <w:sz w:val="14"/>
                <w:szCs w:val="14"/>
              </w:rPr>
              <w:t xml:space="preserve">Délai</w:t>
            </w:r>
          </w:p>
        </w:tc>
      </w:tr>
      <w:tr>
        <w:tc>
          <w:tcPr>
            <w:tcW w:type="dxa" w:w="2900"/>
            <w:tcMar>
              <w:top w:type="dxa" w:w="50"/>
              <w:left w:type="dxa" w:w="90"/>
              <w:bottom w:type="dxa" w:w="50"/>
              <w:right w:type="dxa" w:w="90"/>
            </w:tcMar>
          </w:tcPr>
          <w:p>
            <w:pPr>
              <w:spacing w:after="0" w:line="235"/>
            </w:pPr>
            <w:r>
              <w:rPr>
                <w:sz w:val="17"/>
                <w:szCs w:val="17"/>
              </w:rPr>
              <w:t xml:space="preserve">Produit manquant, colis non livré</w:t>
            </w:r>
          </w:p>
        </w:tc>
        <w:tc>
          <w:tcPr>
            <w:tcW w:type="dxa" w:w="5664"/>
            <w:tcMar>
              <w:top w:type="dxa" w:w="50"/>
              <w:left w:type="dxa" w:w="90"/>
              <w:bottom w:type="dxa" w:w="50"/>
              <w:right w:type="dxa" w:w="90"/>
            </w:tcMar>
          </w:tcPr>
          <w:p>
            <w:pPr>
              <w:spacing w:after="0" w:line="235"/>
            </w:pPr>
            <w:r>
              <w:rPr>
                <w:sz w:val="17"/>
                <w:szCs w:val="17"/>
              </w:rPr>
              <w:t xml:space="preserve">Réserve sur le BL, puis appel au Service Clients avec le n° de commande et le n° de BL</w:t>
            </w:r>
          </w:p>
        </w:tc>
        <w:tc>
          <w:tcPr>
            <w:tcW w:type="dxa" w:w="1500"/>
            <w:tcMar>
              <w:top w:type="dxa" w:w="50"/>
              <w:left w:type="dxa" w:w="90"/>
              <w:bottom w:type="dxa" w:w="50"/>
              <w:right w:type="dxa" w:w="90"/>
            </w:tcMar>
          </w:tcPr>
          <w:p>
            <w:pPr>
              <w:spacing w:after="0" w:line="235"/>
            </w:pPr>
            <w:r>
              <w:rPr>
                <w:sz w:val="17"/>
                <w:szCs w:val="17"/>
              </w:rPr>
              <w:t xml:space="preserve">48 h</w:t>
            </w:r>
          </w:p>
        </w:tc>
      </w:tr>
      <w:tr>
        <w:tc>
          <w:tcPr>
            <w:tcW w:type="dxa" w:w="2900"/>
            <w:tcMar>
              <w:top w:type="dxa" w:w="50"/>
              <w:left w:type="dxa" w:w="90"/>
              <w:bottom w:type="dxa" w:w="50"/>
              <w:right w:type="dxa" w:w="90"/>
            </w:tcMar>
          </w:tcPr>
          <w:p>
            <w:pPr>
              <w:spacing w:after="0" w:line="235"/>
            </w:pPr>
            <w:r>
              <w:rPr>
                <w:sz w:val="17"/>
                <w:szCs w:val="17"/>
              </w:rPr>
              <w:t xml:space="preserve">Produit cassé ou détérioré</w:t>
            </w:r>
          </w:p>
        </w:tc>
        <w:tc>
          <w:tcPr>
            <w:tcW w:type="dxa" w:w="5664"/>
            <w:tcMar>
              <w:top w:type="dxa" w:w="50"/>
              <w:left w:type="dxa" w:w="90"/>
              <w:bottom w:type="dxa" w:w="50"/>
              <w:right w:type="dxa" w:w="90"/>
            </w:tcMar>
          </w:tcPr>
          <w:p>
            <w:pPr>
              <w:spacing w:after="0" w:line="235"/>
            </w:pPr>
            <w:r>
              <w:rPr>
                <w:sz w:val="17"/>
                <w:szCs w:val="17"/>
              </w:rPr>
              <w:t xml:space="preserve">Photos, conservation de l'emballage, déclaration</w:t>
            </w:r>
          </w:p>
        </w:tc>
        <w:tc>
          <w:tcPr>
            <w:tcW w:type="dxa" w:w="1500"/>
            <w:tcMar>
              <w:top w:type="dxa" w:w="50"/>
              <w:left w:type="dxa" w:w="90"/>
              <w:bottom w:type="dxa" w:w="50"/>
              <w:right w:type="dxa" w:w="90"/>
            </w:tcMar>
          </w:tcPr>
          <w:p>
            <w:pPr>
              <w:spacing w:after="0" w:line="235"/>
            </w:pPr>
            <w:r>
              <w:rPr>
                <w:sz w:val="17"/>
                <w:szCs w:val="17"/>
              </w:rPr>
              <w:t xml:space="preserve">48 h</w:t>
            </w:r>
          </w:p>
        </w:tc>
      </w:tr>
      <w:tr>
        <w:tc>
          <w:tcPr>
            <w:tcW w:type="dxa" w:w="2900"/>
            <w:tcMar>
              <w:top w:type="dxa" w:w="50"/>
              <w:left w:type="dxa" w:w="90"/>
              <w:bottom w:type="dxa" w:w="50"/>
              <w:right w:type="dxa" w:w="90"/>
            </w:tcMar>
          </w:tcPr>
          <w:p>
            <w:pPr>
              <w:spacing w:after="0" w:line="235"/>
            </w:pPr>
            <w:r>
              <w:rPr>
                <w:sz w:val="17"/>
                <w:szCs w:val="17"/>
              </w:rPr>
              <w:t xml:space="preserve">Erreur de référence livrée</w:t>
            </w:r>
          </w:p>
        </w:tc>
        <w:tc>
          <w:tcPr>
            <w:tcW w:type="dxa" w:w="5664"/>
            <w:tcMar>
              <w:top w:type="dxa" w:w="50"/>
              <w:left w:type="dxa" w:w="90"/>
              <w:bottom w:type="dxa" w:w="50"/>
              <w:right w:type="dxa" w:w="90"/>
            </w:tcMar>
          </w:tcPr>
          <w:p>
            <w:pPr>
              <w:spacing w:after="0" w:line="235"/>
            </w:pPr>
            <w:r>
              <w:rPr>
                <w:sz w:val="17"/>
                <w:szCs w:val="17"/>
              </w:rPr>
              <w:t xml:space="preserve">Demande d'échange : reprise par un chauffeur Lyreco</w:t>
            </w:r>
          </w:p>
        </w:tc>
        <w:tc>
          <w:tcPr>
            <w:tcW w:type="dxa" w:w="1500"/>
            <w:tcMar>
              <w:top w:type="dxa" w:w="50"/>
              <w:left w:type="dxa" w:w="90"/>
              <w:bottom w:type="dxa" w:w="50"/>
              <w:right w:type="dxa" w:w="90"/>
            </w:tcMar>
          </w:tcPr>
          <w:p>
            <w:pPr>
              <w:spacing w:after="0" w:line="235"/>
            </w:pPr>
            <w:r>
              <w:rPr>
                <w:sz w:val="17"/>
                <w:szCs w:val="17"/>
              </w:rPr>
              <w:t xml:space="preserve">48 h</w:t>
            </w:r>
          </w:p>
        </w:tc>
      </w:tr>
      <w:tr>
        <w:tc>
          <w:tcPr>
            <w:tcW w:type="dxa" w:w="2900"/>
            <w:tcMar>
              <w:top w:type="dxa" w:w="50"/>
              <w:left w:type="dxa" w:w="90"/>
              <w:bottom w:type="dxa" w:w="50"/>
              <w:right w:type="dxa" w:w="90"/>
            </w:tcMar>
          </w:tcPr>
          <w:p>
            <w:pPr>
              <w:spacing w:after="0" w:line="235"/>
            </w:pPr>
            <w:r>
              <w:rPr>
                <w:sz w:val="17"/>
                <w:szCs w:val="17"/>
              </w:rPr>
              <w:t xml:space="preserve">Produit inutile ou erreur de saisie</w:t>
            </w:r>
          </w:p>
        </w:tc>
        <w:tc>
          <w:tcPr>
            <w:tcW w:type="dxa" w:w="5664"/>
            <w:tcMar>
              <w:top w:type="dxa" w:w="50"/>
              <w:left w:type="dxa" w:w="90"/>
              <w:bottom w:type="dxa" w:w="50"/>
              <w:right w:type="dxa" w:w="90"/>
            </w:tcMar>
          </w:tcPr>
          <w:p>
            <w:pPr>
              <w:spacing w:after="0" w:line="235"/>
            </w:pPr>
            <w:r>
              <w:rPr>
                <w:sz w:val="17"/>
                <w:szCs w:val="17"/>
              </w:rPr>
              <w:t xml:space="preserve">Demande de reprise : produit non utilisé, non marqué, emballage d'origine intact, copie du BL jointe</w:t>
            </w:r>
          </w:p>
        </w:tc>
        <w:tc>
          <w:tcPr>
            <w:tcW w:type="dxa" w:w="1500"/>
            <w:tcMar>
              <w:top w:type="dxa" w:w="50"/>
              <w:left w:type="dxa" w:w="90"/>
              <w:bottom w:type="dxa" w:w="50"/>
              <w:right w:type="dxa" w:w="90"/>
            </w:tcMar>
          </w:tcPr>
          <w:p>
            <w:pPr>
              <w:spacing w:after="0" w:line="235"/>
            </w:pPr>
            <w:r>
              <w:rPr>
                <w:sz w:val="17"/>
                <w:szCs w:val="17"/>
              </w:rPr>
              <w:t xml:space="preserve">30 jours</w:t>
            </w:r>
          </w:p>
        </w:tc>
      </w:tr>
      <w:tr>
        <w:tc>
          <w:tcPr>
            <w:tcW w:type="dxa" w:w="2900"/>
            <w:tcMar>
              <w:top w:type="dxa" w:w="50"/>
              <w:left w:type="dxa" w:w="90"/>
              <w:bottom w:type="dxa" w:w="50"/>
              <w:right w:type="dxa" w:w="90"/>
            </w:tcMar>
          </w:tcPr>
          <w:p>
            <w:pPr>
              <w:spacing w:after="0" w:line="235"/>
            </w:pPr>
            <w:r>
              <w:rPr>
                <w:sz w:val="17"/>
                <w:szCs w:val="17"/>
              </w:rPr>
              <w:t xml:space="preserve">Écart sur la facture</w:t>
            </w:r>
          </w:p>
        </w:tc>
        <w:tc>
          <w:tcPr>
            <w:tcW w:type="dxa" w:w="5664"/>
            <w:tcMar>
              <w:top w:type="dxa" w:w="50"/>
              <w:left w:type="dxa" w:w="90"/>
              <w:bottom w:type="dxa" w:w="50"/>
              <w:right w:type="dxa" w:w="90"/>
            </w:tcMar>
          </w:tcPr>
          <w:p>
            <w:pPr>
              <w:spacing w:after="0" w:line="235"/>
            </w:pPr>
            <w:r>
              <w:rPr>
                <w:sz w:val="17"/>
                <w:szCs w:val="17"/>
              </w:rPr>
              <w:t xml:space="preserve">Rapprochement facture / BL / commande, puis demande d'avoir</w:t>
            </w:r>
          </w:p>
        </w:tc>
        <w:tc>
          <w:tcPr>
            <w:tcW w:type="dxa" w:w="1500"/>
            <w:tcMar>
              <w:top w:type="dxa" w:w="50"/>
              <w:left w:type="dxa" w:w="90"/>
              <w:bottom w:type="dxa" w:w="50"/>
              <w:right w:type="dxa" w:w="90"/>
            </w:tcMar>
          </w:tcPr>
          <w:p>
            <w:pPr>
              <w:spacing w:after="0" w:line="235"/>
            </w:pPr>
            <w:r>
              <w:rPr>
                <w:sz w:val="17"/>
                <w:szCs w:val="17"/>
              </w:rPr>
              <w:t xml:space="preserve">À réception</w:t>
            </w:r>
          </w:p>
        </w:tc>
      </w:tr>
    </w:tbl>
    <w:p>
      <w:pPr>
        <w:spacing w:after="80"/>
      </w:pPr>
    </w:p>
    <w:p>
      <w:pPr>
        <w:spacing w:after="70" w:line="250"/>
      </w:pPr>
      <w:r>
        <w:rPr>
          <w:sz w:val="18"/>
          <w:szCs w:val="18"/>
        </w:rPr>
        <w:t xml:space="preserve">La reprise est gratuite dans les </w:t>
      </w:r>
      <w:r>
        <w:rPr>
          <w:b/>
          <w:bCs/>
          <w:sz w:val="18"/>
          <w:szCs w:val="18"/>
        </w:rPr>
        <w:t xml:space="preserve">30 jours</w:t>
      </w:r>
      <w:r>
        <w:rPr>
          <w:sz w:val="18"/>
          <w:szCs w:val="18"/>
        </w:rPr>
        <w:t xml:space="preserve"> suivant la livraison. Passé ce délai, aucun retour ni avoir n'est possible. Certains produits ne sont pas retournables : articles personnalisés, denrées alimentaires, produits d'hygiène ouverts.</w:t>
      </w:r>
    </w:p>
    <w:p>
      <w:pPr>
        <w:pStyle w:val="Heading2"/>
        <w:keepNext/>
        <w:pBdr>
          <w:top w:val="single" w:color="D3DBDB" w:sz="4" w:space="5"/>
        </w:pBdr>
        <w:spacing w:after="80" w:before="200"/>
      </w:pPr>
      <w:r>
        <w:rPr>
          <w:b/>
          <w:bCs/>
          <w:color w:val="0D5C63"/>
          <w:sz w:val="22"/>
          <w:szCs w:val="22"/>
        </w:rPr>
        <w:t xml:space="preserve">9   </w:t>
      </w:r>
      <w:r>
        <w:rPr>
          <w:b/>
          <w:bCs/>
          <w:sz w:val="22"/>
          <w:szCs w:val="22"/>
        </w:rPr>
        <w:t xml:space="preserve">Retrouver vos documents</w:t>
      </w:r>
    </w:p>
    <w:p>
      <w:pPr>
        <w:spacing w:after="70" w:line="250"/>
      </w:pPr>
      <w:r>
        <w:rPr>
          <w:rFonts w:ascii="Consolas" w:cs="Consolas" w:eastAsia="Consolas" w:hAnsi="Consolas"/>
          <w:color w:val="0D5C63"/>
          <w:sz w:val="16"/>
          <w:szCs w:val="16"/>
        </w:rPr>
        <w:t xml:space="preserve">Mon Espace › Mes documents</w:t>
      </w:r>
      <w:r>
        <w:rPr>
          <w:sz w:val="18"/>
          <w:szCs w:val="18"/>
        </w:rPr>
        <w:t xml:space="preserve"> donne accès aux bons de livraison, aux </w:t>
      </w:r>
      <w:r>
        <w:rPr>
          <w:b/>
          <w:bCs/>
          <w:sz w:val="18"/>
          <w:szCs w:val="18"/>
        </w:rPr>
        <w:t xml:space="preserve">BL émargés</w:t>
      </w:r>
      <w:r>
        <w:rPr>
          <w:sz w:val="18"/>
          <w:szCs w:val="18"/>
        </w:rPr>
        <w:t xml:space="preserve"> (preuve de réception), aux factures et avoirs, et à la liste de prix. Recherchez par numéro de livraison, de commande ou par période, sélectionnez les documents puis cliquez sur </w:t>
      </w:r>
      <w:r>
        <w:rPr>
          <w:rFonts w:ascii="Consolas" w:cs="Consolas" w:eastAsia="Consolas" w:hAnsi="Consolas"/>
          <w:color w:val="0D5C63"/>
          <w:sz w:val="16"/>
          <w:szCs w:val="16"/>
        </w:rPr>
        <w:t xml:space="preserve">Demande</w:t>
      </w:r>
      <w:r>
        <w:rPr>
          <w:sz w:val="18"/>
          <w:szCs w:val="18"/>
        </w:rPr>
        <w:t xml:space="preserve"> : ils arrivent en PDF par e-mail. Les BL émargés sont aussi accessibles depuis </w:t>
      </w:r>
      <w:r>
        <w:rPr>
          <w:rFonts w:ascii="Consolas" w:cs="Consolas" w:eastAsia="Consolas" w:hAnsi="Consolas"/>
          <w:color w:val="0D5C63"/>
          <w:sz w:val="16"/>
          <w:szCs w:val="16"/>
        </w:rPr>
        <w:t xml:space="preserve">Mon historique de commande</w:t>
      </w:r>
      <w:r>
        <w:rPr>
          <w:sz w:val="18"/>
          <w:szCs w:val="18"/>
        </w:rPr>
        <w:t xml:space="preserve">, en ouvrant la commande puis </w:t>
      </w:r>
      <w:r>
        <w:rPr>
          <w:rFonts w:ascii="Consolas" w:cs="Consolas" w:eastAsia="Consolas" w:hAnsi="Consolas"/>
          <w:color w:val="0D5C63"/>
          <w:sz w:val="16"/>
          <w:szCs w:val="16"/>
        </w:rPr>
        <w:t xml:space="preserve">Voir les BL émargés</w:t>
      </w:r>
      <w:r>
        <w:rPr>
          <w:sz w:val="18"/>
          <w:szCs w:val="18"/>
        </w:rPr>
        <w:t xml:space="preserve">.</w:t>
      </w:r>
    </w:p>
    <w:p>
      <w:pPr>
        <w:pStyle w:val="Heading2"/>
        <w:keepNext/>
        <w:pBdr>
          <w:top w:val="single" w:color="D3DBDB" w:sz="4" w:space="5"/>
        </w:pBdr>
        <w:spacing w:after="80" w:before="200"/>
      </w:pPr>
      <w:r>
        <w:rPr>
          <w:b/>
          <w:bCs/>
          <w:color w:val="0D5C63"/>
          <w:sz w:val="22"/>
          <w:szCs w:val="22"/>
        </w:rPr>
        <w:t xml:space="preserve">10   </w:t>
      </w:r>
      <w:r>
        <w:rPr>
          <w:b/>
          <w:bCs/>
          <w:sz w:val="22"/>
          <w:szCs w:val="22"/>
        </w:rPr>
        <w:t xml:space="preserve">Que faire si…</w:t>
      </w:r>
    </w:p>
    <w:tbl>
      <w:tblPr>
        <w:tblW w:type="dxa" w:w="10064"/>
        <w:tblBorders>
          <w:top w:val="single" w:color="D3DBDB" w:sz="4"/>
          <w:left w:val="single" w:color="D3DBDB" w:sz="4"/>
          <w:bottom w:val="single" w:color="D3DBDB" w:sz="4"/>
          <w:right w:val="single" w:color="D3DBDB" w:sz="4"/>
          <w:insideH w:val="single" w:color="D3DBDB" w:sz="4"/>
          <w:insideV w:val="single" w:color="D3DBDB" w:sz="4"/>
        </w:tblBorders>
      </w:tblPr>
      <w:tblGrid>
        <w:gridCol w:w="3000"/>
        <w:gridCol w:w="3000"/>
        <w:gridCol w:w="4064"/>
      </w:tblGrid>
      <w:tr>
        <w:trPr>
          <w:tblHeader/>
        </w:trPr>
        <w:tc>
          <w:tcPr>
            <w:tcW w:type="dxa" w:w="3000"/>
            <w:shd w:fill="EEF2F1" w:color="auto" w:val="clear"/>
            <w:tcMar>
              <w:top w:type="dxa" w:w="50"/>
              <w:left w:type="dxa" w:w="90"/>
              <w:bottom w:type="dxa" w:w="50"/>
              <w:right w:type="dxa" w:w="90"/>
            </w:tcMar>
          </w:tcPr>
          <w:p>
            <w:pPr>
              <w:spacing w:after="0"/>
            </w:pPr>
            <w:r>
              <w:rPr>
                <w:b/>
                <w:bCs/>
                <w:caps/>
                <w:color w:val="5B6C72"/>
                <w:sz w:val="14"/>
                <w:szCs w:val="14"/>
              </w:rPr>
              <w:t xml:space="preserve">Symptôme</w:t>
            </w:r>
          </w:p>
        </w:tc>
        <w:tc>
          <w:tcPr>
            <w:tcW w:type="dxa" w:w="3000"/>
            <w:shd w:fill="EEF2F1" w:color="auto" w:val="clear"/>
            <w:tcMar>
              <w:top w:type="dxa" w:w="50"/>
              <w:left w:type="dxa" w:w="90"/>
              <w:bottom w:type="dxa" w:w="50"/>
              <w:right w:type="dxa" w:w="90"/>
            </w:tcMar>
          </w:tcPr>
          <w:p>
            <w:pPr>
              <w:spacing w:after="0"/>
            </w:pPr>
            <w:r>
              <w:rPr>
                <w:b/>
                <w:bCs/>
                <w:caps/>
                <w:color w:val="5B6C72"/>
                <w:sz w:val="14"/>
                <w:szCs w:val="14"/>
              </w:rPr>
              <w:t xml:space="preserve">Cause</w:t>
            </w:r>
          </w:p>
        </w:tc>
        <w:tc>
          <w:tcPr>
            <w:tcW w:type="dxa" w:w="4064"/>
            <w:shd w:fill="EEF2F1" w:color="auto" w:val="clear"/>
            <w:tcMar>
              <w:top w:type="dxa" w:w="50"/>
              <w:left w:type="dxa" w:w="90"/>
              <w:bottom w:type="dxa" w:w="50"/>
              <w:right w:type="dxa" w:w="90"/>
            </w:tcMar>
          </w:tcPr>
          <w:p>
            <w:pPr>
              <w:spacing w:after="0"/>
            </w:pPr>
            <w:r>
              <w:rPr>
                <w:b/>
                <w:bCs/>
                <w:caps/>
                <w:color w:val="5B6C72"/>
                <w:sz w:val="14"/>
                <w:szCs w:val="14"/>
              </w:rPr>
              <w:t xml:space="preserve">Solution</w:t>
            </w:r>
          </w:p>
        </w:tc>
      </w:tr>
      <w:tr>
        <w:tc>
          <w:tcPr>
            <w:tcW w:type="dxa" w:w="3000"/>
            <w:tcMar>
              <w:top w:type="dxa" w:w="50"/>
              <w:left w:type="dxa" w:w="90"/>
              <w:bottom w:type="dxa" w:w="50"/>
              <w:right w:type="dxa" w:w="90"/>
            </w:tcMar>
          </w:tcPr>
          <w:p>
            <w:pPr>
              <w:spacing w:after="0" w:line="235"/>
            </w:pPr>
            <w:r>
              <w:rPr>
                <w:sz w:val="17"/>
                <w:szCs w:val="17"/>
              </w:rPr>
              <w:t xml:space="preserve">Les prix ne s'affichent pas</w:t>
            </w:r>
          </w:p>
        </w:tc>
        <w:tc>
          <w:tcPr>
            <w:tcW w:type="dxa" w:w="3000"/>
            <w:tcMar>
              <w:top w:type="dxa" w:w="50"/>
              <w:left w:type="dxa" w:w="90"/>
              <w:bottom w:type="dxa" w:w="50"/>
              <w:right w:type="dxa" w:w="90"/>
            </w:tcMar>
          </w:tcPr>
          <w:p>
            <w:pPr>
              <w:spacing w:after="0" w:line="235"/>
            </w:pPr>
            <w:r>
              <w:rPr>
                <w:sz w:val="17"/>
                <w:szCs w:val="17"/>
              </w:rPr>
              <w:t xml:space="preserve">Compte positionné sur un niveau d'organisation</w:t>
            </w:r>
          </w:p>
        </w:tc>
        <w:tc>
          <w:tcPr>
            <w:tcW w:type="dxa" w:w="4064"/>
            <w:tcMar>
              <w:top w:type="dxa" w:w="50"/>
              <w:left w:type="dxa" w:w="90"/>
              <w:bottom w:type="dxa" w:w="50"/>
              <w:right w:type="dxa" w:w="90"/>
            </w:tcMar>
          </w:tcPr>
          <w:p>
            <w:pPr>
              <w:spacing w:after="0" w:line="235"/>
            </w:pPr>
            <w:r>
              <w:rPr>
                <w:rFonts w:ascii="Consolas" w:cs="Consolas" w:eastAsia="Consolas" w:hAnsi="Consolas"/>
                <w:color w:val="0D5C63"/>
                <w:sz w:val="17"/>
                <w:szCs w:val="17"/>
              </w:rPr>
              <w:t xml:space="preserve">Changer de compte</w:t>
            </w:r>
            <w:r>
              <w:rPr>
                <w:sz w:val="17"/>
                <w:szCs w:val="17"/>
              </w:rPr>
              <w:t xml:space="preserve"> vers le centre (ligne bleue)</w:t>
            </w:r>
          </w:p>
        </w:tc>
      </w:tr>
      <w:tr>
        <w:tc>
          <w:tcPr>
            <w:tcW w:type="dxa" w:w="3000"/>
            <w:tcMar>
              <w:top w:type="dxa" w:w="50"/>
              <w:left w:type="dxa" w:w="90"/>
              <w:bottom w:type="dxa" w:w="50"/>
              <w:right w:type="dxa" w:w="90"/>
            </w:tcMar>
          </w:tcPr>
          <w:p>
            <w:pPr>
              <w:spacing w:after="0" w:line="235"/>
            </w:pPr>
            <w:r>
              <w:rPr>
                <w:sz w:val="17"/>
                <w:szCs w:val="17"/>
              </w:rPr>
              <w:t xml:space="preserve">Alerte budget à la validation</w:t>
            </w:r>
          </w:p>
        </w:tc>
        <w:tc>
          <w:tcPr>
            <w:tcW w:type="dxa" w:w="3000"/>
            <w:tcMar>
              <w:top w:type="dxa" w:w="50"/>
              <w:left w:type="dxa" w:w="90"/>
              <w:bottom w:type="dxa" w:w="50"/>
              <w:right w:type="dxa" w:w="90"/>
            </w:tcMar>
          </w:tcPr>
          <w:p>
            <w:pPr>
              <w:spacing w:after="0" w:line="235"/>
            </w:pPr>
            <w:r>
              <w:rPr>
                <w:sz w:val="17"/>
                <w:szCs w:val="17"/>
              </w:rPr>
              <w:t xml:space="preserve">Montant supérieur au budget du compte</w:t>
            </w:r>
          </w:p>
        </w:tc>
        <w:tc>
          <w:tcPr>
            <w:tcW w:type="dxa" w:w="4064"/>
            <w:tcMar>
              <w:top w:type="dxa" w:w="50"/>
              <w:left w:type="dxa" w:w="90"/>
              <w:bottom w:type="dxa" w:w="50"/>
              <w:right w:type="dxa" w:w="90"/>
            </w:tcMar>
          </w:tcPr>
          <w:p>
            <w:pPr>
              <w:spacing w:after="0" w:line="235"/>
            </w:pPr>
            <w:r>
              <w:rPr>
                <w:sz w:val="17"/>
                <w:szCs w:val="17"/>
              </w:rPr>
              <w:t xml:space="preserve">Réduire le panier ou justifier auprès du valideur</w:t>
            </w:r>
          </w:p>
        </w:tc>
      </w:tr>
      <w:tr>
        <w:tc>
          <w:tcPr>
            <w:tcW w:type="dxa" w:w="3000"/>
            <w:tcMar>
              <w:top w:type="dxa" w:w="50"/>
              <w:left w:type="dxa" w:w="90"/>
              <w:bottom w:type="dxa" w:w="50"/>
              <w:right w:type="dxa" w:w="90"/>
            </w:tcMar>
          </w:tcPr>
          <w:p>
            <w:pPr>
              <w:spacing w:after="0" w:line="235"/>
            </w:pPr>
            <w:r>
              <w:rPr>
                <w:sz w:val="17"/>
                <w:szCs w:val="17"/>
              </w:rPr>
              <w:t xml:space="preserve">Un produit connu est introuvable</w:t>
            </w:r>
          </w:p>
        </w:tc>
        <w:tc>
          <w:tcPr>
            <w:tcW w:type="dxa" w:w="3000"/>
            <w:tcMar>
              <w:top w:type="dxa" w:w="50"/>
              <w:left w:type="dxa" w:w="90"/>
              <w:bottom w:type="dxa" w:w="50"/>
              <w:right w:type="dxa" w:w="90"/>
            </w:tcMar>
          </w:tcPr>
          <w:p>
            <w:pPr>
              <w:spacing w:after="0" w:line="235"/>
            </w:pPr>
            <w:r>
              <w:rPr>
                <w:sz w:val="17"/>
                <w:szCs w:val="17"/>
              </w:rPr>
              <w:t xml:space="preserve">Article hors mini-catalogue</w:t>
            </w:r>
          </w:p>
        </w:tc>
        <w:tc>
          <w:tcPr>
            <w:tcW w:type="dxa" w:w="4064"/>
            <w:tcMar>
              <w:top w:type="dxa" w:w="50"/>
              <w:left w:type="dxa" w:w="90"/>
              <w:bottom w:type="dxa" w:w="50"/>
              <w:right w:type="dxa" w:w="90"/>
            </w:tcMar>
          </w:tcPr>
          <w:p>
            <w:pPr>
              <w:spacing w:after="0" w:line="235"/>
            </w:pPr>
            <w:r>
              <w:rPr>
                <w:sz w:val="17"/>
                <w:szCs w:val="17"/>
              </w:rPr>
              <w:t xml:space="preserve">Demande au service achats, sans contourner par une référence approchante</w:t>
            </w:r>
          </w:p>
        </w:tc>
      </w:tr>
      <w:tr>
        <w:tc>
          <w:tcPr>
            <w:tcW w:type="dxa" w:w="3000"/>
            <w:tcMar>
              <w:top w:type="dxa" w:w="50"/>
              <w:left w:type="dxa" w:w="90"/>
              <w:bottom w:type="dxa" w:w="50"/>
              <w:right w:type="dxa" w:w="90"/>
            </w:tcMar>
          </w:tcPr>
          <w:p>
            <w:pPr>
              <w:spacing w:after="0" w:line="235"/>
            </w:pPr>
            <w:r>
              <w:rPr>
                <w:sz w:val="17"/>
                <w:szCs w:val="17"/>
              </w:rPr>
              <w:t xml:space="preserve">La commande reste en attente de validation</w:t>
            </w:r>
          </w:p>
        </w:tc>
        <w:tc>
          <w:tcPr>
            <w:tcW w:type="dxa" w:w="3000"/>
            <w:tcMar>
              <w:top w:type="dxa" w:w="50"/>
              <w:left w:type="dxa" w:w="90"/>
              <w:bottom w:type="dxa" w:w="50"/>
              <w:right w:type="dxa" w:w="90"/>
            </w:tcMar>
          </w:tcPr>
          <w:p>
            <w:pPr>
              <w:spacing w:after="0" w:line="235"/>
            </w:pPr>
            <w:r>
              <w:rPr>
                <w:sz w:val="17"/>
                <w:szCs w:val="17"/>
              </w:rPr>
              <w:t xml:space="preserve">Valideur non intervenu</w:t>
            </w:r>
          </w:p>
        </w:tc>
        <w:tc>
          <w:tcPr>
            <w:tcW w:type="dxa" w:w="4064"/>
            <w:tcMar>
              <w:top w:type="dxa" w:w="50"/>
              <w:left w:type="dxa" w:w="90"/>
              <w:bottom w:type="dxa" w:w="50"/>
              <w:right w:type="dxa" w:w="90"/>
            </w:tcMar>
          </w:tcPr>
          <w:p>
            <w:pPr>
              <w:spacing w:after="0" w:line="235"/>
            </w:pPr>
            <w:r>
              <w:rPr>
                <w:sz w:val="17"/>
                <w:szCs w:val="17"/>
              </w:rPr>
              <w:t xml:space="preserve">Le relancer : rien n'est parti chez Lyreco</w:t>
            </w:r>
          </w:p>
        </w:tc>
      </w:tr>
      <w:tr>
        <w:tc>
          <w:tcPr>
            <w:tcW w:type="dxa" w:w="3000"/>
            <w:tcMar>
              <w:top w:type="dxa" w:w="50"/>
              <w:left w:type="dxa" w:w="90"/>
              <w:bottom w:type="dxa" w:w="50"/>
              <w:right w:type="dxa" w:w="90"/>
            </w:tcMar>
          </w:tcPr>
          <w:p>
            <w:pPr>
              <w:spacing w:after="0" w:line="235"/>
            </w:pPr>
            <w:r>
              <w:rPr>
                <w:sz w:val="17"/>
                <w:szCs w:val="17"/>
              </w:rPr>
              <w:t xml:space="preserve">Livraison arrivée dans un autre centre</w:t>
            </w:r>
          </w:p>
        </w:tc>
        <w:tc>
          <w:tcPr>
            <w:tcW w:type="dxa" w:w="3000"/>
            <w:tcMar>
              <w:top w:type="dxa" w:w="50"/>
              <w:left w:type="dxa" w:w="90"/>
              <w:bottom w:type="dxa" w:w="50"/>
              <w:right w:type="dxa" w:w="90"/>
            </w:tcMar>
          </w:tcPr>
          <w:p>
            <w:pPr>
              <w:spacing w:after="0" w:line="235"/>
            </w:pPr>
            <w:r>
              <w:rPr>
                <w:sz w:val="17"/>
                <w:szCs w:val="17"/>
              </w:rPr>
              <w:t xml:space="preserve">Mauvais compte actif à la validation</w:t>
            </w:r>
          </w:p>
        </w:tc>
        <w:tc>
          <w:tcPr>
            <w:tcW w:type="dxa" w:w="4064"/>
            <w:tcMar>
              <w:top w:type="dxa" w:w="50"/>
              <w:left w:type="dxa" w:w="90"/>
              <w:bottom w:type="dxa" w:w="50"/>
              <w:right w:type="dxa" w:w="90"/>
            </w:tcMar>
          </w:tcPr>
          <w:p>
            <w:pPr>
              <w:spacing w:after="0" w:line="235"/>
            </w:pPr>
            <w:r>
              <w:rPr>
                <w:sz w:val="17"/>
                <w:szCs w:val="17"/>
              </w:rPr>
              <w:t xml:space="preserve">Prévenir les deux centres et le service achats (règle R4)</w:t>
            </w:r>
          </w:p>
        </w:tc>
      </w:tr>
      <w:tr>
        <w:tc>
          <w:tcPr>
            <w:tcW w:type="dxa" w:w="3000"/>
            <w:tcMar>
              <w:top w:type="dxa" w:w="50"/>
              <w:left w:type="dxa" w:w="90"/>
              <w:bottom w:type="dxa" w:w="50"/>
              <w:right w:type="dxa" w:w="90"/>
            </w:tcMar>
          </w:tcPr>
          <w:p>
            <w:pPr>
              <w:spacing w:after="0" w:line="235"/>
            </w:pPr>
            <w:r>
              <w:rPr>
                <w:sz w:val="17"/>
                <w:szCs w:val="17"/>
              </w:rPr>
              <w:t xml:space="preserve">Panier vidé après un changement de compte</w:t>
            </w:r>
          </w:p>
        </w:tc>
        <w:tc>
          <w:tcPr>
            <w:tcW w:type="dxa" w:w="3000"/>
            <w:tcMar>
              <w:top w:type="dxa" w:w="50"/>
              <w:left w:type="dxa" w:w="90"/>
              <w:bottom w:type="dxa" w:w="50"/>
              <w:right w:type="dxa" w:w="90"/>
            </w:tcMar>
          </w:tcPr>
          <w:p>
            <w:pPr>
              <w:spacing w:after="0" w:line="235"/>
            </w:pPr>
            <w:r>
              <w:rPr>
                <w:sz w:val="17"/>
                <w:szCs w:val="17"/>
              </w:rPr>
              <w:t xml:space="preserve">Le panier est propre à chaque compte</w:t>
            </w:r>
          </w:p>
        </w:tc>
        <w:tc>
          <w:tcPr>
            <w:tcW w:type="dxa" w:w="4064"/>
            <w:tcMar>
              <w:top w:type="dxa" w:w="50"/>
              <w:left w:type="dxa" w:w="90"/>
              <w:bottom w:type="dxa" w:w="50"/>
              <w:right w:type="dxa" w:w="90"/>
            </w:tcMar>
          </w:tcPr>
          <w:p>
            <w:pPr>
              <w:spacing w:after="0" w:line="235"/>
            </w:pPr>
            <w:r>
              <w:rPr>
                <w:sz w:val="17"/>
                <w:szCs w:val="17"/>
              </w:rPr>
              <w:t xml:space="preserve">Choisir le compte d'abord, utiliser la mise en attente</w:t>
            </w:r>
          </w:p>
        </w:tc>
      </w:tr>
    </w:tbl>
    <w:p>
      <w:pPr>
        <w:pStyle w:val="Heading2"/>
        <w:keepNext/>
        <w:pBdr>
          <w:top w:val="single" w:color="D3DBDB" w:sz="4" w:space="5"/>
        </w:pBdr>
        <w:spacing w:after="80" w:before="200"/>
      </w:pPr>
      <w:r>
        <w:rPr>
          <w:b/>
          <w:bCs/>
          <w:color w:val="0D5C63"/>
          <w:sz w:val="22"/>
          <w:szCs w:val="22"/>
        </w:rPr>
        <w:t xml:space="preserve">11   </w:t>
      </w:r>
      <w:r>
        <w:rPr>
          <w:b/>
          <w:bCs/>
          <w:sz w:val="22"/>
          <w:szCs w:val="22"/>
        </w:rPr>
        <w:t xml:space="preserve">Qui contacter</w:t>
      </w:r>
    </w:p>
    <w:tbl>
      <w:tblPr>
        <w:tblW w:type="dxa" w:w="10064"/>
        <w:tblBorders>
          <w:top w:val="single" w:color="D3DBDB" w:sz="4"/>
          <w:left w:val="single" w:color="D3DBDB" w:sz="4"/>
          <w:bottom w:val="single" w:color="D3DBDB" w:sz="4"/>
          <w:right w:val="single" w:color="D3DBDB" w:sz="4"/>
          <w:insideH w:val="single" w:color="D3DBDB" w:sz="4"/>
          <w:insideV w:val="single" w:color="D3DBDB" w:sz="4"/>
        </w:tblBorders>
      </w:tblPr>
      <w:tblGrid>
        <w:gridCol w:w="3600"/>
        <w:gridCol w:w="6464"/>
      </w:tblGrid>
      <w:tr>
        <w:tc>
          <w:tcPr>
            <w:tcW w:type="dxa" w:w="3600"/>
            <w:tcMar>
              <w:top w:type="dxa" w:w="50"/>
              <w:left w:type="dxa" w:w="90"/>
              <w:bottom w:type="dxa" w:w="50"/>
              <w:right w:type="dxa" w:w="90"/>
            </w:tcMar>
          </w:tcPr>
          <w:p>
            <w:pPr>
              <w:spacing w:after="0" w:line="235"/>
            </w:pPr>
            <w:r>
              <w:rPr>
                <w:b/>
                <w:bCs/>
                <w:sz w:val="17"/>
                <w:szCs w:val="17"/>
              </w:rPr>
              <w:t xml:space="preserve">Livraison, retour, échange, SAV</w:t>
            </w:r>
          </w:p>
        </w:tc>
        <w:tc>
          <w:tcPr>
            <w:tcW w:type="dxa" w:w="6464"/>
            <w:tcMar>
              <w:top w:type="dxa" w:w="50"/>
              <w:left w:type="dxa" w:w="90"/>
              <w:bottom w:type="dxa" w:w="50"/>
              <w:right w:type="dxa" w:w="90"/>
            </w:tcMar>
          </w:tcPr>
          <w:p>
            <w:pPr>
              <w:spacing w:after="0" w:line="235"/>
            </w:pPr>
            <w:r>
              <w:rPr>
                <w:sz w:val="17"/>
                <w:szCs w:val="17"/>
              </w:rPr>
              <w:t xml:space="preserve">Service Clients Lyreco — 0825 09 08 07 (0,15 €/min + prix appel), ou </w:t>
            </w:r>
            <w:r>
              <w:rPr>
                <w:rFonts w:ascii="Consolas" w:cs="Consolas" w:eastAsia="Consolas" w:hAnsi="Consolas"/>
                <w:color w:val="0D5C63"/>
                <w:sz w:val="17"/>
                <w:szCs w:val="17"/>
              </w:rPr>
              <w:t xml:space="preserve">Contactez-nous</w:t>
            </w:r>
            <w:r>
              <w:rPr>
                <w:sz w:val="17"/>
                <w:szCs w:val="17"/>
              </w:rPr>
              <w:t xml:space="preserve"> depuis le webshop</w:t>
            </w:r>
          </w:p>
        </w:tc>
      </w:tr>
      <w:tr>
        <w:tc>
          <w:tcPr>
            <w:tcW w:type="dxa" w:w="3600"/>
            <w:tcMar>
              <w:top w:type="dxa" w:w="50"/>
              <w:left w:type="dxa" w:w="90"/>
              <w:bottom w:type="dxa" w:w="50"/>
              <w:right w:type="dxa" w:w="90"/>
            </w:tcMar>
          </w:tcPr>
          <w:p>
            <w:pPr>
              <w:spacing w:after="0" w:line="235"/>
            </w:pPr>
            <w:r>
              <w:rPr>
                <w:b/>
                <w:bCs/>
                <w:sz w:val="17"/>
                <w:szCs w:val="17"/>
              </w:rPr>
              <w:t xml:space="preserve">Accès, mot de passe, droits</w:t>
            </w:r>
          </w:p>
        </w:tc>
        <w:tc>
          <w:tcPr>
            <w:tcW w:type="dxa" w:w="6464"/>
            <w:tcMar>
              <w:top w:type="dxa" w:w="50"/>
              <w:left w:type="dxa" w:w="90"/>
              <w:bottom w:type="dxa" w:w="50"/>
              <w:right w:type="dxa" w:w="90"/>
            </w:tcMar>
          </w:tcPr>
          <w:p>
            <w:pPr>
              <w:spacing w:after="0" w:line="235"/>
            </w:pPr>
            <w:r>
              <w:rPr>
                <w:sz w:val="17"/>
                <w:szCs w:val="17"/>
              </w:rPr>
              <w:t xml:space="preserve">Administrateur webshop — </w:t>
            </w:r>
            <w:r>
              <w:rPr>
                <w:i/>
                <w:iCs/>
                <w:sz w:val="17"/>
                <w:szCs w:val="17"/>
                <w:highlight w:val="yellow"/>
                <w:highlightCs w:val="yellow"/>
              </w:rPr>
              <w:t xml:space="preserve">nom et e-mail à compléter</w:t>
            </w:r>
          </w:p>
        </w:tc>
      </w:tr>
      <w:tr>
        <w:tc>
          <w:tcPr>
            <w:tcW w:type="dxa" w:w="3600"/>
            <w:tcMar>
              <w:top w:type="dxa" w:w="50"/>
              <w:left w:type="dxa" w:w="90"/>
              <w:bottom w:type="dxa" w:w="50"/>
              <w:right w:type="dxa" w:w="90"/>
            </w:tcMar>
          </w:tcPr>
          <w:p>
            <w:pPr>
              <w:spacing w:after="0" w:line="235"/>
            </w:pPr>
            <w:r>
              <w:rPr>
                <w:b/>
                <w:bCs/>
                <w:sz w:val="17"/>
                <w:szCs w:val="17"/>
              </w:rPr>
              <w:t xml:space="preserve">Besoin hors catalogue, question sur la procédure</w:t>
            </w:r>
          </w:p>
        </w:tc>
        <w:tc>
          <w:tcPr>
            <w:tcW w:type="dxa" w:w="6464"/>
            <w:tcMar>
              <w:top w:type="dxa" w:w="50"/>
              <w:left w:type="dxa" w:w="90"/>
              <w:bottom w:type="dxa" w:w="50"/>
              <w:right w:type="dxa" w:w="90"/>
            </w:tcMar>
          </w:tcPr>
          <w:p>
            <w:pPr>
              <w:spacing w:after="0" w:line="235"/>
            </w:pPr>
            <w:r>
              <w:rPr>
                <w:sz w:val="17"/>
                <w:szCs w:val="17"/>
              </w:rPr>
              <w:t xml:space="preserve">Service achats — </w:t>
            </w:r>
            <w:r>
              <w:rPr>
                <w:i/>
                <w:iCs/>
                <w:sz w:val="17"/>
                <w:szCs w:val="17"/>
                <w:highlight w:val="yellow"/>
                <w:highlightCs w:val="yellow"/>
              </w:rPr>
              <w:t xml:space="preserve">nom et e-mail à compléter</w:t>
            </w:r>
          </w:p>
        </w:tc>
      </w:tr>
      <w:tr>
        <w:tc>
          <w:tcPr>
            <w:tcW w:type="dxa" w:w="3600"/>
            <w:tcMar>
              <w:top w:type="dxa" w:w="50"/>
              <w:left w:type="dxa" w:w="90"/>
              <w:bottom w:type="dxa" w:w="50"/>
              <w:right w:type="dxa" w:w="90"/>
            </w:tcMar>
          </w:tcPr>
          <w:p>
            <w:pPr>
              <w:spacing w:after="0" w:line="235"/>
            </w:pPr>
            <w:r>
              <w:rPr>
                <w:b/>
                <w:bCs/>
                <w:sz w:val="17"/>
                <w:szCs w:val="17"/>
              </w:rPr>
              <w:t xml:space="preserve">Écart de facturation</w:t>
            </w:r>
          </w:p>
        </w:tc>
        <w:tc>
          <w:tcPr>
            <w:tcW w:type="dxa" w:w="6464"/>
            <w:tcMar>
              <w:top w:type="dxa" w:w="50"/>
              <w:left w:type="dxa" w:w="90"/>
              <w:bottom w:type="dxa" w:w="50"/>
              <w:right w:type="dxa" w:w="90"/>
            </w:tcMar>
          </w:tcPr>
          <w:p>
            <w:pPr>
              <w:spacing w:after="0" w:line="235"/>
            </w:pPr>
            <w:r>
              <w:rPr>
                <w:sz w:val="17"/>
                <w:szCs w:val="17"/>
              </w:rPr>
              <w:t xml:space="preserve">Comptabilité fournisseurs — </w:t>
            </w:r>
            <w:r>
              <w:rPr>
                <w:i/>
                <w:iCs/>
                <w:sz w:val="17"/>
                <w:szCs w:val="17"/>
                <w:highlight w:val="yellow"/>
                <w:highlightCs w:val="yellow"/>
              </w:rPr>
              <w:t xml:space="preserve">à compléter</w:t>
            </w:r>
          </w:p>
        </w:tc>
      </w:tr>
    </w:tbl>
    <w:p>
      <w:pPr>
        <w:spacing w:after="100"/>
      </w:pPr>
    </w:p>
    <w:p>
      <w:pPr>
        <w:pBdr>
          <w:top w:val="single" w:color="D3DBDB" w:sz="4" w:space="5"/>
        </w:pBdr>
        <w:spacing w:after="70" w:before="60"/>
      </w:pPr>
      <w:r>
        <w:rPr>
          <w:b/>
          <w:bCs/>
          <w:color w:val="0D5C63"/>
          <w:sz w:val="15"/>
          <w:szCs w:val="15"/>
        </w:rPr>
        <w:t xml:space="preserve">CHECK-LIST AVANT DE VALIDER</w:t>
      </w:r>
    </w:p>
    <w:tbl>
      <w:tblPr>
        <w:tblW w:type="dxa" w:w="10064"/>
        <w:tblBorders>
          <w:top w:val="none"/>
          <w:left w:val="none"/>
          <w:bottom w:val="none"/>
          <w:right w:val="none"/>
          <w:insideH w:val="none"/>
          <w:insideV w:val="none"/>
        </w:tblBorders>
      </w:tblPr>
      <w:tblGrid>
        <w:gridCol w:w="5032"/>
        <w:gridCol w:w="5032"/>
      </w:tblGrid>
      <w:tr>
        <w:tc>
          <w:tcPr>
            <w:tcW w:type="dxa" w:w="5032"/>
            <w:tcMar>
              <w:top w:type="dxa" w:w="20"/>
              <w:left w:type="dxa" w:w="0"/>
              <w:bottom w:type="dxa" w:w="20"/>
              <w:right w:type="dxa" w:w="120"/>
            </w:tcMar>
          </w:tcPr>
          <w:p>
            <w:pPr>
              <w:spacing w:after="30" w:line="230"/>
              <w:ind w:left="260" w:hanging="260"/>
            </w:pPr>
            <w:r>
              <w:rPr>
                <w:sz w:val="17"/>
                <w:szCs w:val="17"/>
              </w:rPr>
              <w:t xml:space="preserve">☐  </w:t>
            </w:r>
            <w:r>
              <w:rPr>
                <w:sz w:val="17"/>
                <w:szCs w:val="17"/>
              </w:rPr>
              <w:t xml:space="preserve">Le compte affiché est celui du centre à livrer.</w:t>
            </w:r>
          </w:p>
        </w:tc>
        <w:tc>
          <w:tcPr>
            <w:tcW w:type="dxa" w:w="5032"/>
            <w:tcMar>
              <w:top w:type="dxa" w:w="20"/>
              <w:left w:type="dxa" w:w="0"/>
              <w:bottom w:type="dxa" w:w="20"/>
              <w:right w:type="dxa" w:w="120"/>
            </w:tcMar>
          </w:tcPr>
          <w:p>
            <w:pPr>
              <w:spacing w:after="30" w:line="230"/>
              <w:ind w:left="260" w:hanging="260"/>
            </w:pPr>
            <w:r>
              <w:rPr>
                <w:sz w:val="17"/>
                <w:szCs w:val="17"/>
              </w:rPr>
              <w:t xml:space="preserve">☐  </w:t>
            </w:r>
            <w:r>
              <w:rPr>
                <w:sz w:val="17"/>
                <w:szCs w:val="17"/>
              </w:rPr>
              <w:t xml:space="preserve">Montant supérieur ou égal à 75 € HT.</w:t>
            </w:r>
          </w:p>
        </w:tc>
      </w:tr>
      <w:tr>
        <w:tc>
          <w:tcPr>
            <w:tcW w:type="dxa" w:w="5032"/>
            <w:tcMar>
              <w:top w:type="dxa" w:w="20"/>
              <w:left w:type="dxa" w:w="0"/>
              <w:bottom w:type="dxa" w:w="20"/>
              <w:right w:type="dxa" w:w="120"/>
            </w:tcMar>
          </w:tcPr>
          <w:p>
            <w:pPr>
              <w:spacing w:after="30" w:line="230"/>
              <w:ind w:left="260" w:hanging="260"/>
            </w:pPr>
            <w:r>
              <w:rPr>
                <w:sz w:val="17"/>
                <w:szCs w:val="17"/>
              </w:rPr>
              <w:t xml:space="preserve">☐  </w:t>
            </w:r>
            <w:r>
              <w:rPr>
                <w:sz w:val="17"/>
                <w:szCs w:val="17"/>
              </w:rPr>
              <w:t xml:space="preserve">Les besoins du centre sont regroupés.</w:t>
            </w:r>
          </w:p>
        </w:tc>
        <w:tc>
          <w:tcPr>
            <w:tcW w:type="dxa" w:w="5032"/>
            <w:tcMar>
              <w:top w:type="dxa" w:w="20"/>
              <w:left w:type="dxa" w:w="0"/>
              <w:bottom w:type="dxa" w:w="20"/>
              <w:right w:type="dxa" w:w="120"/>
            </w:tcMar>
          </w:tcPr>
          <w:p>
            <w:pPr>
              <w:spacing w:after="30" w:line="230"/>
              <w:ind w:left="260" w:hanging="260"/>
            </w:pPr>
            <w:r>
              <w:rPr>
                <w:sz w:val="17"/>
                <w:szCs w:val="17"/>
              </w:rPr>
              <w:t xml:space="preserve">☐  </w:t>
            </w:r>
            <w:r>
              <w:rPr>
                <w:sz w:val="17"/>
                <w:szCs w:val="17"/>
              </w:rPr>
              <w:t xml:space="preserve">Budget respecté, ou dépassement justifié.</w:t>
            </w:r>
          </w:p>
        </w:tc>
      </w:tr>
      <w:tr>
        <w:tc>
          <w:tcPr>
            <w:tcW w:type="dxa" w:w="5032"/>
            <w:tcMar>
              <w:top w:type="dxa" w:w="20"/>
              <w:left w:type="dxa" w:w="0"/>
              <w:bottom w:type="dxa" w:w="20"/>
              <w:right w:type="dxa" w:w="120"/>
            </w:tcMar>
          </w:tcPr>
          <w:p>
            <w:pPr>
              <w:spacing w:after="30" w:line="230"/>
              <w:ind w:left="260" w:hanging="260"/>
            </w:pPr>
            <w:r>
              <w:rPr>
                <w:sz w:val="17"/>
                <w:szCs w:val="17"/>
              </w:rPr>
              <w:t xml:space="preserve">☐  </w:t>
            </w:r>
            <w:r>
              <w:rPr>
                <w:sz w:val="17"/>
                <w:szCs w:val="17"/>
              </w:rPr>
              <w:t xml:space="preserve">Références, unités de vente et quantités vérifiées.</w:t>
            </w:r>
          </w:p>
        </w:tc>
        <w:tc>
          <w:tcPr>
            <w:tcW w:type="dxa" w:w="5032"/>
            <w:tcMar>
              <w:top w:type="dxa" w:w="20"/>
              <w:left w:type="dxa" w:w="0"/>
              <w:bottom w:type="dxa" w:w="20"/>
              <w:right w:type="dxa" w:w="120"/>
            </w:tcMar>
          </w:tcPr>
          <w:p>
            <w:pPr>
              <w:spacing w:after="30" w:line="230"/>
              <w:ind w:left="260" w:hanging="260"/>
            </w:pPr>
            <w:r>
              <w:rPr>
                <w:sz w:val="17"/>
                <w:szCs w:val="17"/>
              </w:rPr>
              <w:t xml:space="preserve">☐  </w:t>
            </w:r>
            <w:r>
              <w:rPr>
                <w:sz w:val="17"/>
                <w:szCs w:val="17"/>
              </w:rPr>
              <w:t xml:space="preserve">Référence interne, contact et téléphone renseignés.</w:t>
            </w:r>
          </w:p>
        </w:tc>
      </w:tr>
      <w:tr>
        <w:tc>
          <w:tcPr>
            <w:tcW w:type="dxa" w:w="5032"/>
            <w:tcMar>
              <w:top w:type="dxa" w:w="20"/>
              <w:left w:type="dxa" w:w="0"/>
              <w:bottom w:type="dxa" w:w="20"/>
              <w:right w:type="dxa" w:w="120"/>
            </w:tcMar>
          </w:tcPr>
          <w:p>
            <w:pPr>
              <w:spacing w:after="30" w:line="230"/>
              <w:ind w:left="260" w:hanging="260"/>
            </w:pPr>
            <w:r>
              <w:rPr>
                <w:sz w:val="17"/>
                <w:szCs w:val="17"/>
              </w:rPr>
              <w:t xml:space="preserve">☐  </w:t>
            </w:r>
            <w:r>
              <w:rPr>
                <w:sz w:val="17"/>
                <w:szCs w:val="17"/>
              </w:rPr>
              <w:t xml:space="preserve">Produits issus du mini-catalogue ou des favoris.</w:t>
            </w:r>
          </w:p>
        </w:tc>
        <w:tc>
          <w:tcPr>
            <w:tcW w:type="dxa" w:w="5032"/>
            <w:tcMar>
              <w:top w:type="dxa" w:w="20"/>
              <w:left w:type="dxa" w:w="0"/>
              <w:bottom w:type="dxa" w:w="20"/>
              <w:right w:type="dxa" w:w="120"/>
            </w:tcMar>
          </w:tcPr>
          <w:p>
            <w:pPr>
              <w:spacing w:after="30" w:line="230"/>
              <w:ind w:left="260" w:hanging="260"/>
            </w:pPr>
            <w:r>
              <w:rPr>
                <w:sz w:val="17"/>
                <w:szCs w:val="17"/>
              </w:rPr>
              <w:t xml:space="preserve">☐  </w:t>
            </w:r>
            <w:r>
              <w:rPr>
                <w:sz w:val="17"/>
                <w:szCs w:val="17"/>
              </w:rPr>
              <w:t xml:space="preserve">Commande passée avant 18 h si livraison attendue le lendemain.</w:t>
            </w:r>
          </w:p>
        </w:tc>
      </w:tr>
    </w:tbl>
    <w:sectPr>
      <w:footerReference w:type="default" r:id="rId7"/>
      <w:pgSz w:w="11906" w:h="16838" w:orient="portrait"/>
      <w:pgMar w:top="851" w:right="921" w:bottom="794" w:left="9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C72"/>
        <w:sz w:val="14"/>
        <w:szCs w:val="14"/>
      </w:rPr>
      <w:t xml:space="preserve">PRO-ACH-001 · Version 1.0 · Document interne          </w:t>
    </w:r>
    <w:r>
      <w:rPr>
        <w:color w:val="5B6C72"/>
        <w:sz w:val="14"/>
        <w:szCs w:val="14"/>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abstractNum w:abstractNumId="3" w15:restartNumberingAfterBreak="0">
    <w:multiLevelType w:val="hybridMultilevel"/>
    <w:lvl w:ilvl="0" w15:tentative="1">
      <w:start w:val="1"/>
      <w:numFmt w:val="decimal"/>
      <w:lvlText w:val="%1."/>
      <w:lvlJc w:val="left"/>
      <w:pPr>
        <w:ind w:left="400" w:hanging="240"/>
      </w:pPr>
    </w:lvl>
  </w:abstractNum>
  <w:abstractNum w:abstractNumId="4" w15:restartNumberingAfterBreak="0">
    <w:multiLevelType w:val="hybridMultilevel"/>
    <w:lvl w:ilvl="0" w15:tentative="1">
      <w:start w:val="1"/>
      <w:numFmt w:val="decimal"/>
      <w:lvlText w:val="%1."/>
      <w:lvlJc w:val="left"/>
      <w:pPr>
        <w:ind w:left="400" w:hanging="240"/>
      </w:pPr>
    </w:lvl>
  </w:abstractNum>
  <w:abstractNum w:abstractNumId="5"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32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rPr>
      <w:rFonts w:ascii="Calibri" w:cs="Calibri" w:eastAsia="Calibri" w:hAnsi="Calibri"/>
      <w:b/>
      <w:bCs/>
      <w:color w:val="17232A"/>
      <w:sz w:val="22"/>
      <w:szCs w:val="22"/>
    </w:rPr>
  </w:style>
  <w:style w:type="paragraph" w:styleId="Heading3">
    <w:name w:val="Heading 3"/>
    <w:basedOn w:val="Normal"/>
    <w:next w:val="Normal"/>
    <w:qFormat/>
    <w:rPr>
      <w:rFonts w:ascii="Calibri" w:cs="Calibri" w:eastAsia="Calibri" w:hAnsi="Calibri"/>
      <w:b/>
      <w:bCs/>
      <w:color w:val="5B6C72"/>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PRO-ACH-001 — Commander sur le webshop Lyreco</dc:title>
  <dc:creator>Service achats</dc:creator>
  <dc:description>Procédure interne — mode opératoire</dc:description>
  <cp:lastModifiedBy>Un-named</cp:lastModifiedBy>
  <cp:revision>1</cp:revision>
  <dcterms:created xsi:type="dcterms:W3CDTF">2026-08-19T14:03:23.933Z</dcterms:created>
  <dcterms:modified xsi:type="dcterms:W3CDTF">2026-08-19T14:03:23.933Z</dcterms:modified>
</cp:coreProperties>
</file>

<file path=docProps/custom.xml><?xml version="1.0" encoding="utf-8"?>
<Properties xmlns="http://schemas.openxmlformats.org/officeDocument/2006/custom-properties" xmlns:vt="http://schemas.openxmlformats.org/officeDocument/2006/docPropsVTypes"/>
</file>