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PROCÉDURE INTERNE · PRO-SG-002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40"/>
          <w:szCs w:val="40"/>
        </w:rPr>
        <w:t xml:space="preserve">Déverrouillage et manutention des cloisons mobiles</w:t>
      </w:r>
    </w:p>
    <w:p>
      <w:pPr>
        <w:spacing w:after="110" w:line="250"/>
      </w:pPr>
      <w:r>
        <w:rPr>
          <w:rFonts w:ascii="Cambria" w:cs="Cambria" w:eastAsia="Cambria" w:hAnsi="Cambria"/>
          <w:i/>
          <w:iCs/>
          <w:color w:val="5B6C72"/>
          <w:sz w:val="21"/>
          <w:szCs w:val="21"/>
        </w:rPr>
        <w:t xml:space="preserve">Mode opératoire pour replier, déplacer et remiser les murs de cloisons mobiles d'une salle de réunion, dans l'ordre imposé par le plan d'implantation.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Site </w:t>
      </w:r>
      <w:r>
        <w:rPr>
          <w:rFonts w:ascii="Arial" w:cs="Arial" w:eastAsia="Arial" w:hAnsi="Arial"/>
          <w:i/>
          <w:iCs/>
          <w:color w:val="6B4B12"/>
          <w:sz w:val="14"/>
          <w:szCs w:val="14"/>
          <w:highlight w:val="yellow"/>
          <w:highlightCs w:val="yellow"/>
        </w:rPr>
        <w:t xml:space="preserve">à compléter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Diffusion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services généraux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Plan, outillage et prérequis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Avant toute manipulation, se référer au plan d'implantation ci-dessous pour identifier les zones d'intervention.</w:t>
      </w:r>
    </w:p>
    <w:p>
      <w:pPr>
        <w:spacing w:after="40" w:before="60"/>
        <w:jc w:val="center"/>
      </w:pPr>
      <w:r>
        <w:drawing>
          <wp:inline distT="0" distB="0" distL="0" distR="0">
            <wp:extent cx="4762500" cy="673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color w:val="5B6C72"/>
          <w:sz w:val="14"/>
          <w:szCs w:val="14"/>
        </w:rPr>
        <w:t xml:space="preserve">Plan d'implantation — les pastilles rouges numérotées repèrent les six zones de cloisons mobiles.</w:t>
      </w:r>
    </w:p>
    <w:p>
      <w:pPr>
        <w:keepNext/>
        <w:spacing w:after="45" w:before="100"/>
      </w:pPr>
      <w:r>
        <w:rPr>
          <w:rFonts w:ascii="Arial" w:cs="Arial" w:eastAsia="Arial" w:hAnsi="Arial"/>
          <w:b/>
          <w:bCs/>
          <w:color w:val="17232A"/>
          <w:sz w:val="18"/>
          <w:szCs w:val="18"/>
        </w:rPr>
        <w:t xml:space="preserve">Ordre d'ouverture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Il est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strictement impératif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de suivre l'ordre d'ouverture des murs de cloisons indiqué par les pastilles rouges numérotées sur le plan, en procédant chronologiquement de la zone 1 jusqu'à la zone 6.</w:t>
      </w:r>
    </w:p>
    <w:p>
      <w:pPr>
        <w:spacing w:after="130"/>
      </w:pPr>
      <w:r>
        <w:rPr>
          <w:rFonts w:ascii="Arial" w:cs="Arial" w:eastAsia="Arial" w:hAnsi="Arial"/>
          <w:b/>
          <w:bCs/>
          <w:color w:val="5B6C72"/>
          <w:spacing w:val="25"/>
          <w:sz w:val="13"/>
          <w:szCs w:val="13"/>
        </w:rPr>
        <w:t xml:space="preserve">ORDRE IMPOSÉ    </w:t>
      </w:r>
      <w:r>
        <w:rPr>
          <w:rFonts w:ascii="Arial" w:cs="Arial" w:eastAsia="Arial" w:hAnsi="Arial"/>
          <w:b/>
          <w:bCs/>
          <w:color w:val="0D5C63"/>
          <w:sz w:val="18"/>
          <w:szCs w:val="18"/>
        </w:rPr>
        <w:t xml:space="preserve">Zone 1  →  Zone 2  →  Zone 3  →  Zone 4  →  Zone 5  →  Zone 6</w:t>
      </w:r>
    </w:p>
    <w:p>
      <w:pPr>
        <w:keepNext/>
        <w:spacing w:after="45" w:before="100"/>
      </w:pPr>
      <w:r>
        <w:rPr>
          <w:rFonts w:ascii="Arial" w:cs="Arial" w:eastAsia="Arial" w:hAnsi="Arial"/>
          <w:b/>
          <w:bCs/>
          <w:color w:val="17232A"/>
          <w:sz w:val="18"/>
          <w:szCs w:val="18"/>
        </w:rPr>
        <w:t xml:space="preserve">Outillage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Manivelle de manœuvre extractible.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Protocole opératoire de déverrouillage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1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Libération du module télescopique (compensateur final)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Pour chaque zone, en suivant l'ordre de 1 à 6, le repli de la cloison doit impérativement débuter par le module télescopique.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Localiser le panneau télescopique situé en extrémité de cloison.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Insérer la manivelle de commande dans l'orifice situé sur la face frontale du panneau.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Actionner la manivelle afin de rétracter simultanément le compensateur vertical (course jusqu'à 120 mm) et les plinthes d'étanchéité supérieure et inférieure.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2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Déverrouillage des modules standards et des portes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Une fois le module télescopique dégagé, procéder séquentiellement avec les panneaux adjacents.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Insérer la manivelle sur le chant (la tranche) de chaque panneau standard.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Effectuer la rotation pour rétracter les plinthes télescopiques haute et basse en aluminium (course de 25 mm).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S'assurer visuellement et physiquement que le panneau est totalement désolidarisé du sol avant d'initier tout mouvement latéral.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3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Translation et remisage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Les éléments étant suspendus de manière indépendante par des chariots à roulements radiaux, la translation doit s'effectuer sans à-coups.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Faire glisser les modules individuellement le long du rail de guidage plafonnier.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Acheminer les panneaux vers leur zone de remisage (parking) désignée sur le plan d'implantation du site.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Empiler les éléments selon le calepinage prévu afin d'éviter tout encombrement ou détérioration des finitions.</w:t>
      </w:r>
    </w:p>
    <w:p>
      <w:pPr>
        <w:spacing w:after="120"/>
      </w:pPr>
    </w:p>
    <w:tbl>
      <w:tblPr>
        <w:tblW w:type="dxa" w:w="9864"/>
        <w:tblBorders>
          <w:top w:val="none"/>
          <w:left w:val="single" w:color="94322B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8E7E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94322B"/>
                <w:spacing w:val="25"/>
                <w:sz w:val="13"/>
                <w:szCs w:val="13"/>
              </w:rPr>
              <w:t xml:space="preserve">POINT CRITIQUE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L'infrastructure ne comporte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aucun rail au sol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 : les panneaux sont suspendus au rail plafonnier. Aucun mouvement latéral ne doit être engagé tant que le panneau n'est pas totalement désolidarisé du sol.</w:t>
            </w:r>
          </w:p>
        </w:tc>
      </w:tr>
    </w:tbl>
    <w:sectPr>
      <w:footerReference w:type="default" r:id="rId7"/>
      <w:pgSz w:w="11906" w:h="16838" w:orient="portrait"/>
      <w:pgMar w:top="964" w:right="1021" w:bottom="85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PRO-SG-002 · Version 1.0  ·  Propriété exclusive des Services Généraux Audika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723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b50f97ec7758efb04cfff9597a22ce49a9a6564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Déverrouillage et manutention des cloisons mobiles</dc:title>
  <dc:creator>Services Généraux Audika</dc:creator>
  <dc:description>Procédure interne PRO-SG-002</dc:description>
  <cp:lastModifiedBy>Un-named</cp:lastModifiedBy>
  <cp:revision>1</cp:revision>
  <dcterms:created xsi:type="dcterms:W3CDTF">2026-08-20T07:23:15.322Z</dcterms:created>
  <dcterms:modified xsi:type="dcterms:W3CDTF">2026-08-20T07:23:15.333Z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