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Arial" w:cs="Arial" w:eastAsia="Arial" w:hAnsi="Arial"/>
          <w:b/>
          <w:bCs/>
          <w:color w:val="0D5C63"/>
          <w:spacing w:val="30"/>
          <w:sz w:val="15"/>
          <w:szCs w:val="15"/>
        </w:rPr>
        <w:t xml:space="preserve">MÉMENTO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7232A"/>
          <w:sz w:val="36"/>
          <w:szCs w:val="36"/>
        </w:rPr>
        <w:t xml:space="preserve">L’essentiel du poste</w:t>
      </w:r>
    </w:p>
    <w:p>
      <w:pPr>
        <w:spacing w:after="90" w:line="240"/>
      </w:pPr>
      <w:r>
        <w:rPr>
          <w:rFonts w:ascii="Cambria" w:cs="Cambria" w:eastAsia="Cambria" w:hAnsi="Cambria"/>
          <w:i/>
          <w:iCs/>
          <w:color w:val="5B6C72"/>
          <w:sz w:val="19"/>
          <w:szCs w:val="19"/>
        </w:rPr>
        <w:t xml:space="preserve">Les repères de la journée, les gestes à ne pas rater et les contacts à avoir sous la main. Le détail est dans les procédures listées au dos.</w:t>
      </w:r>
    </w:p>
    <w:p>
      <w:pPr>
        <w:pBdr>
          <w:bottom w:val="single" w:color="0D5C63" w:sz="14" w:space="7"/>
        </w:pBdr>
        <w:spacing w:after="40"/>
      </w:pP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Version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1.0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Site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siège social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Diffusion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accueil et services généraux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1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La journée en un coup d’œil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2170"/>
        <w:gridCol w:w="7694"/>
      </w:tblGrid>
      <w:tr>
        <w:trPr>
          <w:tblHeader/>
        </w:trPr>
        <w:tc>
          <w:tcPr>
            <w:tcW w:type="dxa" w:w="2170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Horaire</w:t>
            </w:r>
          </w:p>
        </w:tc>
        <w:tc>
          <w:tcPr>
            <w:tcW w:type="dxa" w:w="7694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Ce qui doit être fait</w:t>
            </w:r>
          </w:p>
        </w:tc>
      </w:tr>
      <w:tr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8h30</w:t>
            </w:r>
          </w:p>
        </w:tc>
        <w:tc>
          <w:tcPr>
            <w:tcW w:type="dxa" w:w="7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Prise de poste, ouverture de Teams, Outlook et Tracker, tournée des salles de réunion</w:t>
            </w:r>
          </w:p>
        </w:tc>
      </w:tr>
      <w:tr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9h30 et 11h30</w:t>
            </w:r>
          </w:p>
        </w:tc>
        <w:tc>
          <w:tcPr>
            <w:tcW w:type="dxa" w:w="7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Récupération du courrier à l'accueil principal, deux passages du facteur</w:t>
            </w:r>
          </w:p>
        </w:tc>
      </w:tr>
      <w:tr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10h30 – 11h00</w:t>
            </w:r>
          </w:p>
        </w:tc>
        <w:tc>
          <w:tcPr>
            <w:tcW w:type="dxa" w:w="7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Courrier trié, tamponné et distribué</w:t>
            </w:r>
          </w:p>
        </w:tc>
      </w:tr>
      <w:tr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Après-midi</w:t>
            </w:r>
          </w:p>
        </w:tc>
        <w:tc>
          <w:tcPr>
            <w:tcW w:type="dxa" w:w="7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Traitement des contraventions et du courrier de la flotte automobile</w:t>
            </w:r>
          </w:p>
        </w:tc>
      </w:tr>
      <w:tr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15h00 et 16h00</w:t>
            </w:r>
          </w:p>
        </w:tc>
        <w:tc>
          <w:tcPr>
            <w:tcW w:type="dxa" w:w="7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Passages, dépôt du courrier au départ</w:t>
            </w:r>
          </w:p>
        </w:tc>
      </w:tr>
      <w:tr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Avant 16h00</w:t>
            </w:r>
          </w:p>
        </w:tc>
        <w:tc>
          <w:tcPr>
            <w:tcW w:type="dxa" w:w="7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Pochette Affranchigo déposée à l'accueil principal</w:t>
            </w:r>
          </w:p>
        </w:tc>
      </w:tr>
      <w:tr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Fin de journée</w:t>
            </w:r>
          </w:p>
        </w:tc>
        <w:tc>
          <w:tcPr>
            <w:tcW w:type="dxa" w:w="7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Mails traités, colis au local, tisanerie et poste rangés, clés au local informatique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2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Les gestes à ne pas rater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2565"/>
        <w:gridCol w:w="7299"/>
      </w:tblGrid>
      <w:tr>
        <w:trPr>
          <w:tblHeader/>
        </w:trPr>
        <w:tc>
          <w:tcPr>
            <w:tcW w:type="dxa" w:w="2565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Situation</w:t>
            </w:r>
          </w:p>
        </w:tc>
        <w:tc>
          <w:tcPr>
            <w:tcW w:type="dxa" w:w="7299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Le réflexe</w:t>
            </w:r>
          </w:p>
        </w:tc>
      </w:tr>
      <w:tr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Commande Lyreco</w:t>
            </w:r>
          </w:p>
        </w:tc>
        <w:tc>
          <w:tcPr>
            <w:tcW w:type="dxa" w:w="72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Vérifier le compte du centre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avant</w:t>
            </w: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 de remplir le panier, et atteindre 75 € HT</w:t>
            </w:r>
          </w:p>
        </w:tc>
      </w:tr>
      <w:tr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Courrier sensible</w:t>
            </w:r>
          </w:p>
        </w:tc>
        <w:tc>
          <w:tcPr>
            <w:tcW w:type="dxa" w:w="72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Conformité, RH, « confidentiel », recommandé retour expéditeur, Direction Partenaire : tamponner,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ne jamais ouvrir</w:t>
            </w:r>
          </w:p>
        </w:tc>
      </w:tr>
      <w:tr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Pli ou colis reçu</w:t>
            </w:r>
          </w:p>
        </w:tc>
        <w:tc>
          <w:tcPr>
            <w:tcW w:type="dxa" w:w="72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Enregistrer dans Welcome by,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puis changer le statut</w:t>
            </w: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 au moment de la remise</w:t>
            </w:r>
          </w:p>
        </w:tc>
      </w:tr>
      <w:tr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Remise d’un pli</w:t>
            </w:r>
          </w:p>
        </w:tc>
        <w:tc>
          <w:tcPr>
            <w:tcW w:type="dxa" w:w="72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Valider la remise dans Welcome by, sinon la fiche reste ouverte</w:t>
            </w:r>
          </w:p>
        </w:tc>
      </w:tr>
      <w:tr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Colis abîmé</w:t>
            </w:r>
          </w:p>
        </w:tc>
        <w:tc>
          <w:tcPr>
            <w:tcW w:type="dxa" w:w="72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Photo, refus, information au directeur des services généraux</w:t>
            </w:r>
          </w:p>
        </w:tc>
      </w:tr>
      <w:tr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Contravention</w:t>
            </w:r>
          </w:p>
        </w:tc>
        <w:tc>
          <w:tcPr>
            <w:tcW w:type="dxa" w:w="72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Traitée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le jour même</w:t>
            </w: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 ; la vignette Crit’Air repart aussi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par courrier</w:t>
            </w:r>
          </w:p>
        </w:tc>
      </w:tr>
      <w:tr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Badge d’accès</w:t>
            </w:r>
          </w:p>
        </w:tc>
        <w:tc>
          <w:tcPr>
            <w:tcW w:type="dxa" w:w="72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Ne jamais présumer des permissions ; remise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en main propre</w:t>
            </w: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 après test sur un lecteur</w:t>
            </w:r>
          </w:p>
        </w:tc>
      </w:tr>
      <w:tr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Place de parking occupée</w:t>
            </w:r>
          </w:p>
        </w:tc>
        <w:tc>
          <w:tcPr>
            <w:tcW w:type="dxa" w:w="72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Photo avant de se garer ailleurs</w:t>
            </w:r>
          </w:p>
        </w:tc>
      </w:tr>
      <w:tr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Cloison mobile</w:t>
            </w:r>
          </w:p>
        </w:tc>
        <w:tc>
          <w:tcPr>
            <w:tcW w:type="dxa" w:w="72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Aucun rail au sol : désolidariser du sol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avant</w:t>
            </w: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 tout mouvement latéral, zones dans l'ordre 1 → 6</w:t>
            </w:r>
          </w:p>
        </w:tc>
      </w:tr>
      <w:tr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Anomalie de livraison</w:t>
            </w:r>
          </w:p>
        </w:tc>
        <w:tc>
          <w:tcPr>
            <w:tcW w:type="dxa" w:w="72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Réserve écrite précise sur le bon de livraison, signalement sous 48 h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3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Où enregistrer quoi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2565"/>
        <w:gridCol w:w="7299"/>
      </w:tblGrid>
      <w:tr>
        <w:trPr>
          <w:tblHeader/>
        </w:trPr>
        <w:tc>
          <w:tcPr>
            <w:tcW w:type="dxa" w:w="2565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Outil</w:t>
            </w:r>
          </w:p>
        </w:tc>
        <w:tc>
          <w:tcPr>
            <w:tcW w:type="dxa" w:w="7299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Ce qui doit y être saisi</w:t>
            </w:r>
          </w:p>
        </w:tc>
      </w:tr>
      <w:tr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Welcome by</w:t>
            </w:r>
          </w:p>
        </w:tc>
        <w:tc>
          <w:tcPr>
            <w:tcW w:type="dxa" w:w="72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Visiteurs, prestataires, plis et colis reçus, LRAR, plis d’huissier, expéditions</w:t>
            </w:r>
          </w:p>
        </w:tc>
      </w:tr>
      <w:tr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Tracker + fichier Excel</w:t>
            </w:r>
          </w:p>
        </w:tc>
        <w:tc>
          <w:tcPr>
            <w:tcW w:type="dxa" w:w="72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Demandes des collaborateurs et suivi des interventions</w:t>
            </w:r>
          </w:p>
        </w:tc>
      </w:tr>
      <w:tr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VISOR</w:t>
            </w:r>
          </w:p>
        </w:tc>
        <w:tc>
          <w:tcPr>
            <w:tcW w:type="dxa" w:w="72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Utilisateurs, badges, groupes d’accès</w:t>
            </w:r>
          </w:p>
        </w:tc>
      </w:tr>
      <w:tr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Webshop Lyreco</w:t>
            </w:r>
          </w:p>
        </w:tc>
        <w:tc>
          <w:tcPr>
            <w:tcW w:type="dxa" w:w="72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Commandes de fournitures, par compte de centre</w:t>
            </w:r>
          </w:p>
        </w:tc>
      </w:tr>
      <w:tr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Sharvy</w:t>
            </w:r>
          </w:p>
        </w:tc>
        <w:tc>
          <w:tcPr>
            <w:tcW w:type="dxa" w:w="72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Inscription des plaques pour le parking P1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4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Contacts immédiats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2959"/>
        <w:gridCol w:w="6905"/>
      </w:tblGrid>
      <w:tr>
        <w:trPr>
          <w:tblHeader/>
        </w:trPr>
        <w:tc>
          <w:tcPr>
            <w:tcW w:type="dxa" w:w="2959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Besoin</w:t>
            </w:r>
          </w:p>
        </w:tc>
        <w:tc>
          <w:tcPr>
            <w:tcW w:type="dxa" w:w="6905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Contact</w:t>
            </w:r>
          </w:p>
        </w:tc>
      </w:tr>
      <w:tr>
        <w:tc>
          <w:tcPr>
            <w:tcW w:type="dxa" w:w="2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Urgences</w:t>
            </w:r>
          </w:p>
        </w:tc>
        <w:tc>
          <w:tcPr>
            <w:tcW w:type="dxa" w:w="6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Pompiers 18 · Police 17 · SAMU 15 · Toutes urgences 112</w:t>
            </w:r>
          </w:p>
        </w:tc>
      </w:tr>
      <w:tr>
        <w:tc>
          <w:tcPr>
            <w:tcW w:type="dxa" w:w="2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Accueil principal</w:t>
            </w:r>
          </w:p>
        </w:tc>
        <w:tc>
          <w:tcPr>
            <w:tcW w:type="dxa" w:w="6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06 33 68 52 80</w:t>
            </w:r>
          </w:p>
        </w:tc>
      </w:tr>
      <w:tr>
        <w:tc>
          <w:tcPr>
            <w:tcW w:type="dxa" w:w="2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Directeur des services généraux</w:t>
            </w:r>
          </w:p>
        </w:tc>
        <w:tc>
          <w:tcPr>
            <w:tcW w:type="dxa" w:w="6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Sébastien BOURDON — snrb@audika.com</w:t>
            </w:r>
          </w:p>
        </w:tc>
      </w:tr>
      <w:tr>
        <w:tc>
          <w:tcPr>
            <w:tcW w:type="dxa" w:w="2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Maintenance du bâtiment</w:t>
            </w:r>
          </w:p>
        </w:tc>
        <w:tc>
          <w:tcPr>
            <w:tcW w:type="dxa" w:w="6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SPIE — 06 80 22 32 14</w:t>
            </w:r>
          </w:p>
        </w:tc>
      </w:tr>
      <w:tr>
        <w:tc>
          <w:tcPr>
            <w:tcW w:type="dxa" w:w="2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Machines à café</w:t>
            </w:r>
          </w:p>
        </w:tc>
        <w:tc>
          <w:tcPr>
            <w:tcW w:type="dxa" w:w="6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SOVEDIS — 06 52 97 88 52</w:t>
            </w:r>
          </w:p>
        </w:tc>
      </w:tr>
      <w:tr>
        <w:tc>
          <w:tcPr>
            <w:tcW w:type="dxa" w:w="2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Flotte automobile</w:t>
            </w:r>
          </w:p>
        </w:tc>
        <w:tc>
          <w:tcPr>
            <w:tcW w:type="dxa" w:w="6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OOVOOM — auddika@oovoom.fr — 01 80 82 44 43</w:t>
            </w:r>
          </w:p>
        </w:tc>
      </w:tr>
      <w:tr>
        <w:tc>
          <w:tcPr>
            <w:tcW w:type="dxa" w:w="2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Fournitures</w:t>
            </w:r>
          </w:p>
        </w:tc>
        <w:tc>
          <w:tcPr>
            <w:tcW w:type="dxa" w:w="6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Lyreco — 0825 09 08 07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5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Le détail, procédure par procédure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1973"/>
        <w:gridCol w:w="7891"/>
      </w:tblGrid>
      <w:tr>
        <w:trPr>
          <w:tblHeader/>
        </w:trPr>
        <w:tc>
          <w:tcPr>
            <w:tcW w:type="dxa" w:w="1973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Réf.</w:t>
            </w:r>
          </w:p>
        </w:tc>
        <w:tc>
          <w:tcPr>
            <w:tcW w:type="dxa" w:w="7891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Procédure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PRO-ACH-001</w:t>
            </w:r>
          </w:p>
        </w:tc>
        <w:tc>
          <w:tcPr>
            <w:tcW w:type="dxa" w:w="7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Commander sur le webshop Lyreco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PRO-SG-002</w:t>
            </w:r>
          </w:p>
        </w:tc>
        <w:tc>
          <w:tcPr>
            <w:tcW w:type="dxa" w:w="7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Déverrouillage et manutention des cloisons mobiles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PRO-SG-003</w:t>
            </w:r>
          </w:p>
        </w:tc>
        <w:tc>
          <w:tcPr>
            <w:tcW w:type="dxa" w:w="7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Gestion des accès au siège social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PRO-SG-004</w:t>
            </w:r>
          </w:p>
        </w:tc>
        <w:tc>
          <w:tcPr>
            <w:tcW w:type="dxa" w:w="7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Gestion du courrier, des plis et des colis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PRO-SG-005</w:t>
            </w:r>
          </w:p>
        </w:tc>
        <w:tc>
          <w:tcPr>
            <w:tcW w:type="dxa" w:w="7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Welcome by : visiteurs et prestataires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PRO-SG-006</w:t>
            </w:r>
          </w:p>
        </w:tc>
        <w:tc>
          <w:tcPr>
            <w:tcW w:type="dxa" w:w="7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Contraventions et courrier de la flotte automobile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PRO-SG-007</w:t>
            </w:r>
          </w:p>
        </w:tc>
        <w:tc>
          <w:tcPr>
            <w:tcW w:type="dxa" w:w="7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Accès aux parkings P1 et P2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PRO-SG-008</w:t>
            </w:r>
          </w:p>
        </w:tc>
        <w:tc>
          <w:tcPr>
            <w:tcW w:type="dxa" w:w="7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Traitement des mails du poste d’accueil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PRO-SG-009</w:t>
            </w:r>
          </w:p>
        </w:tc>
        <w:tc>
          <w:tcPr>
            <w:tcW w:type="dxa" w:w="7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Machine à café De Jong Duke Lua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PRO-SG-010</w:t>
            </w:r>
          </w:p>
        </w:tc>
        <w:tc>
          <w:tcPr>
            <w:tcW w:type="dxa" w:w="7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Collecte des piles et batteries usagées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FIC-SG-001</w:t>
            </w:r>
          </w:p>
        </w:tc>
        <w:tc>
          <w:tcPr>
            <w:tcW w:type="dxa" w:w="7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Contacts utiles</w:t>
            </w:r>
          </w:p>
        </w:tc>
      </w:tr>
    </w:tbl>
    <w:sectPr>
      <w:footerReference w:type="default" r:id="rId7"/>
      <w:pgSz w:w="11906" w:h="16838" w:orient="portrait"/>
      <w:pgMar w:top="880" w:right="1021" w:bottom="78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BDB" w:sz="4" w:space="6"/>
      </w:pBdr>
      <w:jc w:val="right"/>
    </w:pPr>
    <w:r>
      <w:rPr>
        <w:rFonts w:ascii="Arial" w:cs="Arial" w:eastAsia="Arial" w:hAnsi="Arial"/>
        <w:color w:val="5B6C72"/>
        <w:sz w:val="13"/>
        <w:szCs w:val="13"/>
      </w:rPr>
      <w:t xml:space="preserve">Document interne          </w:t>
    </w:r>
    <w:r>
      <w:rPr>
        <w:rFonts w:ascii="Arial" w:cs="Arial" w:eastAsia="Arial" w:hAnsi="Arial"/>
        <w:color w:val="5B6C72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723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Mémento — l’essentiel du poste</dc:title>
  <dc:creator>Services Généraux Audika</dc:creator>
  <dc:description>Procédure interne</dc:description>
  <cp:lastModifiedBy>Un-named</cp:lastModifiedBy>
  <cp:revision>1</cp:revision>
  <dcterms:created xsi:type="dcterms:W3CDTF">2026-09-08T07:33:26.657Z</dcterms:created>
  <dcterms:modified xsi:type="dcterms:W3CDTF">2026-09-08T07:33:26.657Z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