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</w:pPr>
      <w:r>
        <w:rPr>
          <w:rFonts w:ascii="Arial" w:cs="Arial" w:eastAsia="Arial" w:hAnsi="Arial"/>
          <w:b/>
          <w:bCs/>
          <w:color w:val="0D5C63"/>
          <w:spacing w:val="30"/>
          <w:sz w:val="15"/>
          <w:szCs w:val="15"/>
        </w:rPr>
        <w:t xml:space="preserve">PROCÉDURE INTERNE</w:t>
      </w:r>
    </w:p>
    <w:p>
      <w:pPr>
        <w:keepNext/>
        <w:spacing w:after="70"/>
      </w:pPr>
      <w:r>
        <w:rPr>
          <w:rFonts w:ascii="Arial" w:cs="Arial" w:eastAsia="Arial" w:hAnsi="Arial"/>
          <w:b/>
          <w:bCs/>
          <w:color w:val="17232A"/>
          <w:sz w:val="36"/>
          <w:szCs w:val="36"/>
        </w:rPr>
        <w:t xml:space="preserve">Contraventions et courrier de la flotte automobile</w:t>
      </w:r>
    </w:p>
    <w:p>
      <w:pPr>
        <w:spacing w:after="90" w:line="240"/>
      </w:pPr>
      <w:r>
        <w:rPr>
          <w:rFonts w:ascii="Cambria" w:cs="Cambria" w:eastAsia="Cambria" w:hAnsi="Cambria"/>
          <w:i/>
          <w:iCs/>
          <w:color w:val="5B6C72"/>
          <w:sz w:val="19"/>
          <w:szCs w:val="19"/>
        </w:rPr>
        <w:t xml:space="preserve">Traiter les contraventions et les documents de la flotte automobile reçus par courrier, et les transmettre au prestataire OOVOOM.</w:t>
      </w:r>
    </w:p>
    <w:p>
      <w:pPr>
        <w:pBdr>
          <w:bottom w:val="single" w:color="0D5C63" w:sz="14" w:space="7"/>
        </w:pBdr>
        <w:spacing w:after="40"/>
      </w:pPr>
      <w:r>
        <w:rPr>
          <w:rFonts w:ascii="Arial" w:cs="Arial" w:eastAsia="Arial" w:hAnsi="Arial"/>
          <w:b/>
          <w:bCs/>
          <w:color w:val="17232A"/>
          <w:sz w:val="15"/>
          <w:szCs w:val="15"/>
        </w:rPr>
        <w:t xml:space="preserve">Version </w:t>
      </w:r>
      <w:r>
        <w:rPr>
          <w:rFonts w:ascii="Arial" w:cs="Arial" w:eastAsia="Arial" w:hAnsi="Arial"/>
          <w:color w:val="5B6C72"/>
          <w:sz w:val="15"/>
          <w:szCs w:val="15"/>
        </w:rPr>
        <w:t xml:space="preserve">1.0</w:t>
      </w:r>
      <w:r>
        <w:rPr>
          <w:rFonts w:ascii="Arial" w:cs="Arial" w:eastAsia="Arial" w:hAnsi="Arial"/>
          <w:b/>
          <w:bCs/>
          <w:color w:val="17232A"/>
          <w:sz w:val="15"/>
          <w:szCs w:val="15"/>
        </w:rPr>
        <w:t xml:space="preserve">     Site </w:t>
      </w:r>
      <w:r>
        <w:rPr>
          <w:rFonts w:ascii="Arial" w:cs="Arial" w:eastAsia="Arial" w:hAnsi="Arial"/>
          <w:color w:val="5B6C72"/>
          <w:sz w:val="15"/>
          <w:szCs w:val="15"/>
        </w:rPr>
        <w:t xml:space="preserve">siège social</w:t>
      </w:r>
      <w:r>
        <w:rPr>
          <w:rFonts w:ascii="Arial" w:cs="Arial" w:eastAsia="Arial" w:hAnsi="Arial"/>
          <w:b/>
          <w:bCs/>
          <w:color w:val="17232A"/>
          <w:sz w:val="15"/>
          <w:szCs w:val="15"/>
        </w:rPr>
        <w:t xml:space="preserve">     Diffusion </w:t>
      </w:r>
      <w:r>
        <w:rPr>
          <w:rFonts w:ascii="Arial" w:cs="Arial" w:eastAsia="Arial" w:hAnsi="Arial"/>
          <w:color w:val="5B6C72"/>
          <w:sz w:val="15"/>
          <w:szCs w:val="15"/>
        </w:rPr>
        <w:t xml:space="preserve">accueil et services généraux</w:t>
      </w:r>
    </w:p>
    <w:p>
      <w:pPr>
        <w:keepNext/>
        <w:pBdr>
          <w:top w:val="single" w:color="D3DBDB" w:sz="4" w:space="8"/>
        </w:pBdr>
        <w:spacing w:after="62" w:before="140"/>
      </w:pPr>
      <w:r>
        <w:rPr>
          <w:rFonts w:ascii="Arial" w:cs="Arial" w:eastAsia="Arial" w:hAnsi="Arial"/>
          <w:b/>
          <w:bCs/>
          <w:color w:val="0D5C63"/>
          <w:sz w:val="22"/>
          <w:szCs w:val="22"/>
        </w:rPr>
        <w:t xml:space="preserve">1   </w:t>
      </w:r>
      <w:r>
        <w:rPr>
          <w:rFonts w:ascii="Arial" w:cs="Arial" w:eastAsia="Arial" w:hAnsi="Arial"/>
          <w:b/>
          <w:bCs/>
          <w:color w:val="17232A"/>
          <w:sz w:val="22"/>
          <w:szCs w:val="22"/>
        </w:rPr>
        <w:t xml:space="preserve">Principe et délai</w:t>
      </w:r>
    </w:p>
    <w:p>
      <w:pPr>
        <w:spacing w:after="58" w:line="240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À l'arrivée du courrier, </w:t>
      </w:r>
      <w:r>
        <w:rPr>
          <w:rFonts w:ascii="Cambria" w:cs="Cambria" w:eastAsia="Cambria" w:hAnsi="Cambria"/>
          <w:b/>
          <w:bCs/>
          <w:color w:val="17232A"/>
          <w:sz w:val="18"/>
          <w:szCs w:val="18"/>
        </w:rPr>
        <w:t xml:space="preserve">mettre de côté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 les contraventions et tous les documents concernant la flotte automobile, sans les distribuer dans les bannettes. Ils sont traités </w:t>
      </w:r>
      <w:r>
        <w:rPr>
          <w:rFonts w:ascii="Cambria" w:cs="Cambria" w:eastAsia="Cambria" w:hAnsi="Cambria"/>
          <w:b/>
          <w:bCs/>
          <w:color w:val="17232A"/>
          <w:sz w:val="18"/>
          <w:szCs w:val="18"/>
        </w:rPr>
        <w:t xml:space="preserve">l'après-midi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.</w:t>
      </w:r>
    </w:p>
    <w:tbl>
      <w:tblPr>
        <w:tblW w:type="dxa" w:w="9864"/>
        <w:tblBorders>
          <w:top w:val="none"/>
          <w:left w:val="single" w:color="94322B" w:sz="18"/>
          <w:bottom w:val="none"/>
          <w:right w:val="none"/>
          <w:insideH w:val="none"/>
          <w:insideV w:val="none"/>
        </w:tblBorders>
      </w:tblPr>
      <w:tblGrid>
        <w:gridCol w:w="9864"/>
      </w:tblGrid>
      <w:tr>
        <w:tc>
          <w:tcPr>
            <w:tcW w:type="dxa" w:w="9864"/>
            <w:shd w:fill="F8E7E4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5"/>
            </w:pPr>
            <w:r>
              <w:rPr>
                <w:rFonts w:ascii="Arial" w:cs="Arial" w:eastAsia="Arial" w:hAnsi="Arial"/>
                <w:b/>
                <w:bCs/>
                <w:color w:val="94322B"/>
                <w:spacing w:val="25"/>
                <w:sz w:val="13"/>
                <w:szCs w:val="13"/>
              </w:rPr>
              <w:t xml:space="preserve">DÉLAI IMPÉRATIF</w:t>
            </w:r>
          </w:p>
          <w:p>
            <w:pPr>
              <w:spacing w:after="0" w:line="235"/>
            </w:pPr>
            <w:r>
              <w:rPr>
                <w:rFonts w:ascii="Cambria" w:cs="Cambria" w:eastAsia="Cambria" w:hAnsi="Cambria"/>
                <w:color w:val="17232A"/>
                <w:sz w:val="17"/>
                <w:szCs w:val="17"/>
              </w:rPr>
              <w:t xml:space="preserve">Le traitement doit être </w:t>
            </w:r>
            <w:r>
              <w:rPr>
                <w:rFonts w:ascii="Cambria" w:cs="Cambria" w:eastAsia="Cambria" w:hAnsi="Cambria"/>
                <w:b/>
                <w:bCs/>
                <w:color w:val="17232A"/>
                <w:sz w:val="17"/>
                <w:szCs w:val="17"/>
              </w:rPr>
              <w:t xml:space="preserve">terminé le jour même</w:t>
            </w:r>
            <w:r>
              <w:rPr>
                <w:rFonts w:ascii="Cambria" w:cs="Cambria" w:eastAsia="Cambria" w:hAnsi="Cambria"/>
                <w:color w:val="17232A"/>
                <w:sz w:val="17"/>
                <w:szCs w:val="17"/>
              </w:rPr>
              <w:t xml:space="preserve">. Une contravention laissée en attente fait courir des majorations à la charge de l'entreprise.</w:t>
            </w:r>
          </w:p>
        </w:tc>
      </w:tr>
    </w:tbl>
    <w:p>
      <w:pPr>
        <w:keepNext/>
        <w:pBdr>
          <w:top w:val="single" w:color="D3DBDB" w:sz="4" w:space="8"/>
        </w:pBdr>
        <w:spacing w:after="62" w:before="140"/>
      </w:pPr>
      <w:r>
        <w:rPr>
          <w:rFonts w:ascii="Arial" w:cs="Arial" w:eastAsia="Arial" w:hAnsi="Arial"/>
          <w:b/>
          <w:bCs/>
          <w:color w:val="0D5C63"/>
          <w:sz w:val="22"/>
          <w:szCs w:val="22"/>
        </w:rPr>
        <w:t xml:space="preserve">2   </w:t>
      </w:r>
      <w:r>
        <w:rPr>
          <w:rFonts w:ascii="Arial" w:cs="Arial" w:eastAsia="Arial" w:hAnsi="Arial"/>
          <w:b/>
          <w:bCs/>
          <w:color w:val="17232A"/>
          <w:sz w:val="22"/>
          <w:szCs w:val="22"/>
        </w:rPr>
        <w:t xml:space="preserve">Numériser les documents</w:t>
      </w:r>
    </w:p>
    <w:p>
      <w:pPr>
        <w:pStyle w:val="ListParagraph"/>
        <w:numPr>
          <w:ilvl w:val="0"/>
          <w:numId w:val="2"/>
        </w:numPr>
        <w:spacing w:after="38" w:line="240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Ouvrir le courrier et </w:t>
      </w:r>
      <w:r>
        <w:rPr>
          <w:rFonts w:ascii="Cambria" w:cs="Cambria" w:eastAsia="Cambria" w:hAnsi="Cambria"/>
          <w:b/>
          <w:bCs/>
          <w:color w:val="17232A"/>
          <w:sz w:val="18"/>
          <w:szCs w:val="18"/>
        </w:rPr>
        <w:t xml:space="preserve">classer les documents par date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.</w:t>
      </w:r>
    </w:p>
    <w:p>
      <w:pPr>
        <w:pStyle w:val="ListParagraph"/>
        <w:numPr>
          <w:ilvl w:val="0"/>
          <w:numId w:val="2"/>
        </w:numPr>
        <w:spacing w:after="38" w:line="240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Scanner </w:t>
      </w:r>
      <w:r>
        <w:rPr>
          <w:rFonts w:ascii="Cambria" w:cs="Cambria" w:eastAsia="Cambria" w:hAnsi="Cambria"/>
          <w:b/>
          <w:bCs/>
          <w:color w:val="17232A"/>
          <w:sz w:val="18"/>
          <w:szCs w:val="18"/>
        </w:rPr>
        <w:t xml:space="preserve">toutes les pages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, sans exception, document par document.</w:t>
      </w:r>
    </w:p>
    <w:p>
      <w:pPr>
        <w:pStyle w:val="ListParagraph"/>
        <w:numPr>
          <w:ilvl w:val="0"/>
          <w:numId w:val="2"/>
        </w:numPr>
        <w:spacing w:after="38" w:line="240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Toujours commencer par la première page, </w:t>
      </w:r>
      <w:r>
        <w:rPr>
          <w:rFonts w:ascii="Cambria" w:cs="Cambria" w:eastAsia="Cambria" w:hAnsi="Cambria"/>
          <w:b/>
          <w:bCs/>
          <w:color w:val="17232A"/>
          <w:sz w:val="18"/>
          <w:szCs w:val="18"/>
        </w:rPr>
        <w:t xml:space="preserve">tête en bas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.</w:t>
      </w:r>
    </w:p>
    <w:p>
      <w:pPr>
        <w:pStyle w:val="ListParagraph"/>
        <w:numPr>
          <w:ilvl w:val="0"/>
          <w:numId w:val="2"/>
        </w:numPr>
        <w:spacing w:after="38" w:line="240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Le petit scanner Brother se trouve sur le bureau : appuyer sur </w:t>
      </w:r>
      <w:r>
        <w:rPr>
          <w:rFonts w:ascii="Consolas" w:cs="Consolas" w:eastAsia="Consolas" w:hAnsi="Consolas"/>
          <w:color w:val="0D5C63"/>
          <w:sz w:val="16"/>
          <w:szCs w:val="16"/>
          <w:shd w:fill="EDF2F1" w:color="auto" w:val="clear"/>
        </w:rPr>
        <w:t xml:space="preserve">vers le PC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 sur son écran, puis sur </w:t>
      </w:r>
      <w:r>
        <w:rPr>
          <w:rFonts w:ascii="Consolas" w:cs="Consolas" w:eastAsia="Consolas" w:hAnsi="Consolas"/>
          <w:color w:val="0D5C63"/>
          <w:sz w:val="16"/>
          <w:szCs w:val="16"/>
          <w:shd w:fill="EDF2F1" w:color="auto" w:val="clear"/>
        </w:rPr>
        <w:t xml:space="preserve">démarrer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.</w:t>
      </w:r>
    </w:p>
    <w:p>
      <w:pPr>
        <w:keepNext/>
        <w:pBdr>
          <w:top w:val="single" w:color="D3DBDB" w:sz="4" w:space="8"/>
        </w:pBdr>
        <w:spacing w:after="62" w:before="140"/>
      </w:pPr>
      <w:r>
        <w:rPr>
          <w:rFonts w:ascii="Arial" w:cs="Arial" w:eastAsia="Arial" w:hAnsi="Arial"/>
          <w:b/>
          <w:bCs/>
          <w:color w:val="0D5C63"/>
          <w:sz w:val="22"/>
          <w:szCs w:val="22"/>
        </w:rPr>
        <w:t xml:space="preserve">3   </w:t>
      </w:r>
      <w:r>
        <w:rPr>
          <w:rFonts w:ascii="Arial" w:cs="Arial" w:eastAsia="Arial" w:hAnsi="Arial"/>
          <w:b/>
          <w:bCs/>
          <w:color w:val="17232A"/>
          <w:sz w:val="22"/>
          <w:szCs w:val="22"/>
        </w:rPr>
        <w:t xml:space="preserve">Renommer les fichiers</w:t>
      </w:r>
    </w:p>
    <w:p>
      <w:pPr>
        <w:pStyle w:val="ListParagraph"/>
        <w:numPr>
          <w:ilvl w:val="0"/>
          <w:numId w:val="2"/>
        </w:numPr>
        <w:spacing w:after="38" w:line="240"/>
      </w:pPr>
      <w:r>
        <w:rPr>
          <w:rFonts w:ascii="Cambria" w:cs="Cambria" w:eastAsia="Cambria" w:hAnsi="Cambria"/>
          <w:b/>
          <w:bCs/>
          <w:color w:val="17232A"/>
          <w:sz w:val="18"/>
          <w:szCs w:val="18"/>
        </w:rPr>
        <w:t xml:space="preserve">Supprimer d'abord les anciens fichiers renommés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, pour ne pas mélanger deux traitements.</w:t>
      </w:r>
    </w:p>
    <w:p>
      <w:pPr>
        <w:pStyle w:val="ListParagraph"/>
        <w:numPr>
          <w:ilvl w:val="0"/>
          <w:numId w:val="2"/>
        </w:numPr>
        <w:spacing w:after="38" w:line="240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Ouvrir le document scanné depuis le dossier </w:t>
      </w:r>
      <w:r>
        <w:rPr>
          <w:rFonts w:ascii="Consolas" w:cs="Consolas" w:eastAsia="Consolas" w:hAnsi="Consolas"/>
          <w:color w:val="0D5C63"/>
          <w:sz w:val="16"/>
          <w:szCs w:val="16"/>
          <w:shd w:fill="EDF2F1" w:color="auto" w:val="clear"/>
        </w:rPr>
        <w:t xml:space="preserve">DOCUMENTS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 de l'ordinateur.</w:t>
      </w:r>
    </w:p>
    <w:p>
      <w:pPr>
        <w:pStyle w:val="ListParagraph"/>
        <w:numPr>
          <w:ilvl w:val="0"/>
          <w:numId w:val="2"/>
        </w:numPr>
        <w:spacing w:after="38" w:line="240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Relever la </w:t>
      </w:r>
      <w:r>
        <w:rPr>
          <w:rFonts w:ascii="Cambria" w:cs="Cambria" w:eastAsia="Cambria" w:hAnsi="Cambria"/>
          <w:b/>
          <w:bCs/>
          <w:color w:val="17232A"/>
          <w:sz w:val="18"/>
          <w:szCs w:val="18"/>
        </w:rPr>
        <w:t xml:space="preserve">plaque d'immatriculation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 sur le document, la copier, puis renommer le fichier selon le tableau ci-dessous.</w:t>
      </w:r>
    </w:p>
    <w:tbl>
      <w:tblPr>
        <w:tblW w:type="dxa" w:w="9864"/>
        <w:tblBorders>
          <w:top w:val="single" w:color="D3DBDB" w:sz="4"/>
          <w:left w:val="single" w:color="D3DBDB" w:sz="4"/>
          <w:bottom w:val="single" w:color="D3DBDB" w:sz="4"/>
          <w:right w:val="single" w:color="D3DBDB" w:sz="4"/>
          <w:insideH w:val="single" w:color="D3DBDB" w:sz="4"/>
          <w:insideV w:val="single" w:color="D3DBDB" w:sz="4"/>
        </w:tblBorders>
      </w:tblPr>
      <w:tblGrid>
        <w:gridCol w:w="3946"/>
        <w:gridCol w:w="5918"/>
      </w:tblGrid>
      <w:tr>
        <w:trPr>
          <w:tblHeader/>
        </w:trPr>
        <w:tc>
          <w:tcPr>
            <w:tcW w:type="dxa" w:w="3946"/>
            <w:shd w:fill="EE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aps/>
                <w:color w:val="5B6C72"/>
                <w:spacing w:val="20"/>
                <w:sz w:val="13"/>
                <w:szCs w:val="13"/>
              </w:rPr>
              <w:t xml:space="preserve">Type de document</w:t>
            </w:r>
          </w:p>
        </w:tc>
        <w:tc>
          <w:tcPr>
            <w:tcW w:type="dxa" w:w="5918"/>
            <w:shd w:fill="EE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aps/>
                <w:color w:val="5B6C72"/>
                <w:spacing w:val="20"/>
                <w:sz w:val="13"/>
                <w:szCs w:val="13"/>
              </w:rPr>
              <w:t xml:space="preserve">Nom du fichier</w:t>
            </w:r>
          </w:p>
        </w:tc>
      </w:tr>
      <w:tr>
        <w:tc>
          <w:tcPr>
            <w:tcW w:type="dxa" w:w="39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Forfait post-stationnement</w:t>
            </w:r>
          </w:p>
        </w:tc>
        <w:tc>
          <w:tcPr>
            <w:tcW w:type="dxa" w:w="59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FPS + plaque immatriculation</w:t>
            </w:r>
          </w:p>
        </w:tc>
      </w:tr>
      <w:tr>
        <w:tc>
          <w:tcPr>
            <w:tcW w:type="dxa" w:w="39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Avis de non-paiement</w:t>
            </w:r>
          </w:p>
        </w:tc>
        <w:tc>
          <w:tcPr>
            <w:tcW w:type="dxa" w:w="59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Avis de non-paiement + plaque immatriculation</w:t>
            </w:r>
          </w:p>
        </w:tc>
      </w:tr>
      <w:tr>
        <w:tc>
          <w:tcPr>
            <w:tcW w:type="dxa" w:w="39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Carte Total</w:t>
            </w:r>
          </w:p>
        </w:tc>
        <w:tc>
          <w:tcPr>
            <w:tcW w:type="dxa" w:w="59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Carte Total + plaque immatriculation</w:t>
            </w:r>
          </w:p>
        </w:tc>
      </w:tr>
      <w:tr>
        <w:tc>
          <w:tcPr>
            <w:tcW w:type="dxa" w:w="39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Carte grise</w:t>
            </w:r>
          </w:p>
        </w:tc>
        <w:tc>
          <w:tcPr>
            <w:tcW w:type="dxa" w:w="59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Carte grise + plaque immatriculation</w:t>
            </w:r>
          </w:p>
        </w:tc>
      </w:tr>
    </w:tbl>
    <w:p>
      <w:pPr>
        <w:keepNext/>
        <w:pBdr>
          <w:top w:val="single" w:color="D3DBDB" w:sz="4" w:space="8"/>
        </w:pBdr>
        <w:spacing w:after="62" w:before="140"/>
      </w:pPr>
      <w:r>
        <w:rPr>
          <w:rFonts w:ascii="Arial" w:cs="Arial" w:eastAsia="Arial" w:hAnsi="Arial"/>
          <w:b/>
          <w:bCs/>
          <w:color w:val="0D5C63"/>
          <w:sz w:val="22"/>
          <w:szCs w:val="22"/>
        </w:rPr>
        <w:t xml:space="preserve">4   </w:t>
      </w:r>
      <w:r>
        <w:rPr>
          <w:rFonts w:ascii="Arial" w:cs="Arial" w:eastAsia="Arial" w:hAnsi="Arial"/>
          <w:b/>
          <w:bCs/>
          <w:color w:val="17232A"/>
          <w:sz w:val="22"/>
          <w:szCs w:val="22"/>
        </w:rPr>
        <w:t xml:space="preserve">Transmettre à OOVOOM</w:t>
      </w:r>
    </w:p>
    <w:p>
      <w:pPr>
        <w:spacing w:after="58" w:line="240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Envoyer les documents renommés par mail au service flotte automobile d'OOVOOM.</w:t>
      </w:r>
    </w:p>
    <w:tbl>
      <w:tblPr>
        <w:tblW w:type="dxa" w:w="9864"/>
        <w:tblBorders>
          <w:top w:val="single" w:color="D3DBDB" w:sz="4"/>
          <w:left w:val="single" w:color="D3DBDB" w:sz="4"/>
          <w:bottom w:val="single" w:color="D3DBDB" w:sz="4"/>
          <w:right w:val="single" w:color="D3DBDB" w:sz="4"/>
          <w:insideH w:val="single" w:color="D3DBDB" w:sz="4"/>
          <w:insideV w:val="single" w:color="D3DBDB" w:sz="4"/>
        </w:tblBorders>
      </w:tblPr>
      <w:tblGrid>
        <w:gridCol w:w="2762"/>
        <w:gridCol w:w="7102"/>
      </w:tblGrid>
      <w:tr>
        <w:tc>
          <w:tcPr>
            <w:tcW w:type="dxa" w:w="27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/>
                <w:bCs/>
                <w:color w:val="0D5C63"/>
                <w:sz w:val="17"/>
                <w:szCs w:val="17"/>
              </w:rPr>
              <w:t xml:space="preserve">Adresse mail</w:t>
            </w:r>
          </w:p>
        </w:tc>
        <w:tc>
          <w:tcPr>
            <w:tcW w:type="dxa" w:w="71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auddika@oovoom.fr</w:t>
            </w:r>
          </w:p>
        </w:tc>
      </w:tr>
      <w:tr>
        <w:tc>
          <w:tcPr>
            <w:tcW w:type="dxa" w:w="27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/>
                <w:bCs/>
                <w:color w:val="0D5C63"/>
                <w:sz w:val="17"/>
                <w:szCs w:val="17"/>
              </w:rPr>
              <w:t xml:space="preserve">Téléphone</w:t>
            </w:r>
          </w:p>
        </w:tc>
        <w:tc>
          <w:tcPr>
            <w:tcW w:type="dxa" w:w="71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01 80 82 44 43</w:t>
            </w:r>
          </w:p>
        </w:tc>
      </w:tr>
      <w:tr>
        <w:tc>
          <w:tcPr>
            <w:tcW w:type="dxa" w:w="27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/>
                <w:bCs/>
                <w:color w:val="0D5C63"/>
                <w:sz w:val="17"/>
                <w:szCs w:val="17"/>
              </w:rPr>
              <w:t xml:space="preserve">Adresse postale</w:t>
            </w:r>
          </w:p>
        </w:tc>
        <w:tc>
          <w:tcPr>
            <w:tcW w:type="dxa" w:w="71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SAS 30 Mile — OOVOOM, 59 boulevard Exelmans, 75016 Paris</w:t>
            </w:r>
          </w:p>
        </w:tc>
      </w:tr>
    </w:tbl>
    <w:p>
      <w:pPr>
        <w:keepNext/>
        <w:pBdr>
          <w:top w:val="single" w:color="D3DBDB" w:sz="4" w:space="8"/>
        </w:pBdr>
        <w:spacing w:after="62" w:before="140"/>
      </w:pPr>
      <w:r>
        <w:rPr>
          <w:rFonts w:ascii="Arial" w:cs="Arial" w:eastAsia="Arial" w:hAnsi="Arial"/>
          <w:b/>
          <w:bCs/>
          <w:color w:val="0D5C63"/>
          <w:sz w:val="22"/>
          <w:szCs w:val="22"/>
        </w:rPr>
        <w:t xml:space="preserve">5   </w:t>
      </w:r>
      <w:r>
        <w:rPr>
          <w:rFonts w:ascii="Arial" w:cs="Arial" w:eastAsia="Arial" w:hAnsi="Arial"/>
          <w:b/>
          <w:bCs/>
          <w:color w:val="17232A"/>
          <w:sz w:val="22"/>
          <w:szCs w:val="22"/>
        </w:rPr>
        <w:t xml:space="preserve">Cas de la vignette Crit’Air</w:t>
      </w:r>
    </w:p>
    <w:p>
      <w:pPr>
        <w:pStyle w:val="ListParagraph"/>
        <w:numPr>
          <w:ilvl w:val="0"/>
          <w:numId w:val="2"/>
        </w:numPr>
        <w:spacing w:after="38" w:line="240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Scanner la vignette comme les autres documents.</w:t>
      </w:r>
    </w:p>
    <w:p>
      <w:pPr>
        <w:pStyle w:val="ListParagraph"/>
        <w:numPr>
          <w:ilvl w:val="0"/>
          <w:numId w:val="2"/>
        </w:numPr>
        <w:spacing w:after="38" w:line="240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L'envoyer par mail à OOVOOM.</w:t>
      </w:r>
    </w:p>
    <w:p>
      <w:pPr>
        <w:pStyle w:val="ListParagraph"/>
        <w:numPr>
          <w:ilvl w:val="0"/>
          <w:numId w:val="2"/>
        </w:numPr>
        <w:spacing w:after="38" w:line="240"/>
      </w:pPr>
      <w:r>
        <w:rPr>
          <w:rFonts w:ascii="Cambria" w:cs="Cambria" w:eastAsia="Cambria" w:hAnsi="Cambria"/>
          <w:b/>
          <w:bCs/>
          <w:color w:val="17232A"/>
          <w:sz w:val="18"/>
          <w:szCs w:val="18"/>
        </w:rPr>
        <w:t xml:space="preserve">Puis la renvoyer par courrier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 à l'adresse postale ci-dessus : le mail ne suffit pas.</w:t>
      </w:r>
    </w:p>
    <w:p>
      <w:pPr>
        <w:keepNext/>
        <w:pBdr>
          <w:top w:val="single" w:color="D3DBDB" w:sz="4" w:space="8"/>
        </w:pBdr>
        <w:spacing w:after="62" w:before="140"/>
      </w:pPr>
      <w:r>
        <w:rPr>
          <w:rFonts w:ascii="Arial" w:cs="Arial" w:eastAsia="Arial" w:hAnsi="Arial"/>
          <w:b/>
          <w:bCs/>
          <w:color w:val="0D5C63"/>
          <w:sz w:val="22"/>
          <w:szCs w:val="22"/>
        </w:rPr>
        <w:t xml:space="preserve">6   </w:t>
      </w:r>
      <w:r>
        <w:rPr>
          <w:rFonts w:ascii="Arial" w:cs="Arial" w:eastAsia="Arial" w:hAnsi="Arial"/>
          <w:b/>
          <w:bCs/>
          <w:color w:val="17232A"/>
          <w:sz w:val="22"/>
          <w:szCs w:val="22"/>
        </w:rPr>
        <w:t xml:space="preserve">Archivage des originaux</w:t>
      </w:r>
    </w:p>
    <w:p>
      <w:pPr>
        <w:pStyle w:val="ListParagraph"/>
        <w:numPr>
          <w:ilvl w:val="0"/>
          <w:numId w:val="2"/>
        </w:numPr>
        <w:spacing w:after="38" w:line="240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Conserver les originaux, </w:t>
      </w:r>
      <w:r>
        <w:rPr>
          <w:rFonts w:ascii="Cambria" w:cs="Cambria" w:eastAsia="Cambria" w:hAnsi="Cambria"/>
          <w:b/>
          <w:bCs/>
          <w:color w:val="17232A"/>
          <w:sz w:val="18"/>
          <w:szCs w:val="18"/>
        </w:rPr>
        <w:t xml:space="preserve">classés par date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, dans l'enveloppe prévue — rangée dans les bannettes noires situées derrière le poste.</w:t>
      </w:r>
    </w:p>
    <w:p>
      <w:pPr>
        <w:pStyle w:val="ListParagraph"/>
        <w:numPr>
          <w:ilvl w:val="0"/>
          <w:numId w:val="2"/>
        </w:numPr>
        <w:spacing w:after="38" w:line="240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Les garder </w:t>
      </w:r>
      <w:r>
        <w:rPr>
          <w:rFonts w:ascii="Cambria" w:cs="Cambria" w:eastAsia="Cambria" w:hAnsi="Cambria"/>
          <w:b/>
          <w:bCs/>
          <w:color w:val="17232A"/>
          <w:sz w:val="18"/>
          <w:szCs w:val="18"/>
        </w:rPr>
        <w:t xml:space="preserve">trois mois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.</w:t>
      </w:r>
    </w:p>
    <w:p>
      <w:pPr>
        <w:pStyle w:val="ListParagraph"/>
        <w:numPr>
          <w:ilvl w:val="0"/>
          <w:numId w:val="2"/>
        </w:numPr>
        <w:spacing w:after="38" w:line="240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Détruire les enveloppes avec la machine prévue à cet effet.</w:t>
      </w:r>
    </w:p>
    <w:sectPr>
      <w:footerReference w:type="default" r:id="rId7"/>
      <w:pgSz w:w="11906" w:h="16838" w:orient="portrait"/>
      <w:pgMar w:top="880" w:right="1021" w:bottom="780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BDB" w:sz="4" w:space="6"/>
      </w:pBdr>
      <w:jc w:val="right"/>
    </w:pPr>
    <w:r>
      <w:rPr>
        <w:rFonts w:ascii="Arial" w:cs="Arial" w:eastAsia="Arial" w:hAnsi="Arial"/>
        <w:color w:val="5B6C72"/>
        <w:sz w:val="13"/>
        <w:szCs w:val="13"/>
      </w:rPr>
      <w:t xml:space="preserve">Document interne          </w:t>
    </w:r>
    <w:r>
      <w:rPr>
        <w:rFonts w:ascii="Arial" w:cs="Arial" w:eastAsia="Arial" w:hAnsi="Arial"/>
        <w:color w:val="5B6C72"/>
        <w:sz w:val="13"/>
        <w:szCs w:val="13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color w:val="17232A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Contraventions et courrier de la flotte automobile</dc:title>
  <dc:creator>Services Généraux Audika</dc:creator>
  <dc:description>Procédure interne</dc:description>
  <cp:lastModifiedBy>Un-named</cp:lastModifiedBy>
  <cp:revision>1</cp:revision>
  <dcterms:created xsi:type="dcterms:W3CDTF">2026-08-26T14:09:38.035Z</dcterms:created>
  <dcterms:modified xsi:type="dcterms:W3CDTF">2026-08-26T14:09:38.035Z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