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40"/>
      </w:pPr>
      <w:r>
        <w:rPr>
          <w:rFonts w:ascii="Arial" w:cs="Arial" w:eastAsia="Arial" w:hAnsi="Arial"/>
          <w:sz w:val="22"/>
          <w:szCs w:val="22"/>
          <w:rtl/>
        </w:rPr>
        <w:t xml:space="preserve">תאריך: </w:t>
      </w:r>
      <w:r>
        <w:rPr>
          <w:rFonts w:ascii="Arial" w:cs="Arial" w:eastAsia="Arial" w:hAnsi="Arial"/>
          <w:sz w:val="22"/>
          <w:szCs w:val="22"/>
          <w:highlight w:val="yellow"/>
          <w:highlightCs w:val="yellow"/>
          <w:rtl/>
        </w:rPr>
        <w:t xml:space="preserve">__/__/__</w:t>
      </w:r>
    </w:p>
    <w:p>
      <w:pPr>
        <w:bidi/>
        <w:spacing w:after="40"/>
      </w:pPr>
      <w:r>
        <w:rPr>
          <w:rFonts w:ascii="Arial" w:cs="Arial" w:eastAsia="Arial" w:hAnsi="Arial"/>
          <w:sz w:val="22"/>
          <w:szCs w:val="22"/>
          <w:rtl/>
        </w:rPr>
        <w:t xml:space="preserve">לכבוד: </w:t>
      </w:r>
      <w:r>
        <w:rPr>
          <w:rFonts w:ascii="Arial" w:cs="Arial" w:eastAsia="Arial" w:hAnsi="Arial"/>
          <w:sz w:val="22"/>
          <w:szCs w:val="22"/>
          <w:highlight w:val="yellow"/>
          <w:highlightCs w:val="yellow"/>
          <w:rtl/>
        </w:rPr>
        <w:t xml:space="preserve">שם המזמין/ים</w:t>
      </w:r>
    </w:p>
    <w:p>
      <w:pPr>
        <w:bidi/>
        <w:spacing w:after="300"/>
      </w:pPr>
      <w:r>
        <w:rPr>
          <w:rFonts w:ascii="Arial" w:cs="Arial" w:eastAsia="Arial" w:hAnsi="Arial"/>
          <w:sz w:val="22"/>
          <w:szCs w:val="22"/>
          <w:rtl/>
        </w:rPr>
        <w:t xml:space="preserve">כתובת הנכס: דרך מגדיאל 48, הוד השרון</w:t>
      </w:r>
    </w:p>
    <w:p>
      <w:pPr>
        <w:bidi/>
        <w:spacing w:after="300"/>
        <w:jc w:val="center"/>
      </w:pPr>
      <w:r>
        <w:rPr>
          <w:rFonts w:ascii="Arial" w:cs="Arial" w:eastAsia="Arial" w:hAnsi="Arial"/>
          <w:b/>
          <w:bCs/>
          <w:color w:val="6E625A"/>
          <w:sz w:val="32"/>
          <w:szCs w:val="32"/>
          <w:rtl/>
        </w:rPr>
        <w:t xml:space="preserve">הסכם למתן שירותי אדריכלות – הגשת בקשה להיתר לתוספת פרגולה</w:t>
      </w:r>
    </w:p>
    <w:p>
      <w:pPr>
        <w:bidi/>
        <w:spacing w:after="100" w:line="300"/>
      </w:pPr>
      <w:r>
        <w:rPr>
          <w:rFonts w:ascii="Arial" w:cs="Arial" w:eastAsia="Arial" w:hAnsi="Arial"/>
          <w:sz w:val="22"/>
          <w:szCs w:val="22"/>
          <w:rtl/>
        </w:rPr>
        <w:t xml:space="preserve">תודה על פנייתכם.</w:t>
      </w:r>
    </w:p>
    <w:p>
      <w:pPr>
        <w:bidi/>
        <w:spacing w:after="100" w:line="300"/>
      </w:pPr>
      <w:r>
        <w:rPr>
          <w:rFonts w:ascii="Arial" w:cs="Arial" w:eastAsia="Arial" w:hAnsi="Arial"/>
          <w:sz w:val="22"/>
          <w:szCs w:val="22"/>
          <w:rtl/>
        </w:rPr>
        <w:t xml:space="preserve">להלן הצעת המחיר:</w:t>
      </w:r>
    </w:p>
    <w:p>
      <w:pPr>
        <w:keepNext/>
        <w:pBdr>
          <w:bottom w:val="single" w:color="C9C2BC" w:sz="6" w:space="4"/>
        </w:pBdr>
        <w:bidi/>
        <w:spacing w:after="140" w:before="360"/>
      </w:pPr>
      <w:r>
        <w:rPr>
          <w:rFonts w:ascii="Arial" w:cs="Arial" w:eastAsia="Arial" w:hAnsi="Arial"/>
          <w:b/>
          <w:bCs/>
          <w:color w:val="6E625A"/>
          <w:sz w:val="26"/>
          <w:szCs w:val="26"/>
          <w:rtl/>
        </w:rPr>
        <w:t xml:space="preserve">1. הגדרת השירות</w:t>
      </w:r>
    </w:p>
    <w:p>
      <w:pPr>
        <w:bidi/>
        <w:spacing w:after="100" w:line="300"/>
      </w:pPr>
      <w:r>
        <w:rPr>
          <w:rFonts w:ascii="Arial" w:cs="Arial" w:eastAsia="Arial" w:hAnsi="Arial"/>
          <w:sz w:val="22"/>
          <w:szCs w:val="22"/>
          <w:rtl/>
        </w:rPr>
        <w:t xml:space="preserve">שירות אדריכלי להכנת בקשה להיתר בנייה לתוספת פרגולה בשטח של כ-28 מ"ר במרפסת הדירה.</w:t>
      </w:r>
    </w:p>
    <w:p>
      <w:pPr>
        <w:keepNext/>
        <w:pBdr>
          <w:bottom w:val="single" w:color="C9C2BC" w:sz="6" w:space="4"/>
        </w:pBdr>
        <w:bidi/>
        <w:spacing w:after="140" w:before="360"/>
      </w:pPr>
      <w:r>
        <w:rPr>
          <w:rFonts w:ascii="Arial" w:cs="Arial" w:eastAsia="Arial" w:hAnsi="Arial"/>
          <w:b/>
          <w:bCs/>
          <w:color w:val="6E625A"/>
          <w:sz w:val="26"/>
          <w:szCs w:val="26"/>
          <w:rtl/>
        </w:rPr>
        <w:t xml:space="preserve">2. תיאור השירות</w:t>
      </w:r>
    </w:p>
    <w:p>
      <w:pPr>
        <w:bidi/>
        <w:spacing w:after="100" w:line="300"/>
      </w:pPr>
      <w:r>
        <w:rPr>
          <w:rFonts w:ascii="Arial" w:cs="Arial" w:eastAsia="Arial" w:hAnsi="Arial"/>
          <w:sz w:val="22"/>
          <w:szCs w:val="22"/>
          <w:rtl/>
        </w:rPr>
        <w:t xml:space="preserve">האדריכלית תטפל בכל שלבי ההכנה וההגשה של הבקשה להיתר בנייה למִנהל ההנדסה של עיריית הוד השרון, לרבות:</w:t>
      </w:r>
    </w:p>
    <w:p>
      <w:pPr>
        <w:pStyle w:val="ListParagraph"/>
        <w:numPr>
          <w:ilvl w:val="0"/>
          <w:numId w:val="2"/>
        </w:numPr>
        <w:bidi/>
        <w:spacing w:after="60" w:line="290"/>
      </w:pPr>
      <w:r>
        <w:rPr>
          <w:rFonts w:ascii="Arial" w:cs="Arial" w:eastAsia="Arial" w:hAnsi="Arial"/>
          <w:sz w:val="22"/>
          <w:szCs w:val="22"/>
          <w:rtl/>
        </w:rPr>
        <w:t xml:space="preserve">הכנה וטיפול בבקשת תיק מידע תכנוני מהוועדה המקומית לתכנון ובנייה, כולל:</w:t>
      </w:r>
    </w:p>
    <w:p>
      <w:pPr>
        <w:pStyle w:val="ListParagraph"/>
        <w:numPr>
          <w:ilvl w:val="1"/>
          <w:numId w:val="2"/>
        </w:numPr>
        <w:bidi/>
        <w:spacing w:after="60" w:line="290"/>
      </w:pPr>
      <w:r>
        <w:rPr>
          <w:rFonts w:ascii="Arial" w:cs="Arial" w:eastAsia="Arial" w:hAnsi="Arial"/>
          <w:sz w:val="22"/>
          <w:szCs w:val="22"/>
          <w:rtl/>
        </w:rPr>
        <w:t xml:space="preserve">תיאום מול הרשויות והגשת כלל המסמכים המקצועיים במערכת.</w:t>
      </w:r>
    </w:p>
    <w:p>
      <w:pPr>
        <w:pStyle w:val="ListParagraph"/>
        <w:numPr>
          <w:ilvl w:val="1"/>
          <w:numId w:val="2"/>
        </w:numPr>
        <w:bidi/>
        <w:spacing w:after="60" w:line="290"/>
      </w:pPr>
      <w:r>
        <w:rPr>
          <w:rFonts w:ascii="Arial" w:cs="Arial" w:eastAsia="Arial" w:hAnsi="Arial"/>
          <w:sz w:val="22"/>
          <w:szCs w:val="22"/>
          <w:rtl/>
        </w:rPr>
        <w:t xml:space="preserve">תיאום עם הגורמים המקצועיים הנדרשים לקבלת תיק המידע.</w:t>
      </w:r>
    </w:p>
    <w:p>
      <w:pPr>
        <w:pStyle w:val="ListParagraph"/>
        <w:numPr>
          <w:ilvl w:val="0"/>
          <w:numId w:val="2"/>
        </w:numPr>
        <w:bidi/>
        <w:spacing w:after="60" w:line="290"/>
      </w:pPr>
      <w:r>
        <w:rPr>
          <w:rFonts w:ascii="Arial" w:cs="Arial" w:eastAsia="Arial" w:hAnsi="Arial"/>
          <w:sz w:val="22"/>
          <w:szCs w:val="22"/>
          <w:rtl/>
        </w:rPr>
        <w:t xml:space="preserve">הגשת הבקשה במערכת "רישוי זמין".</w:t>
      </w:r>
    </w:p>
    <w:p>
      <w:pPr>
        <w:pStyle w:val="ListParagraph"/>
        <w:numPr>
          <w:ilvl w:val="0"/>
          <w:numId w:val="2"/>
        </w:numPr>
        <w:bidi/>
        <w:spacing w:after="60" w:line="290"/>
      </w:pPr>
      <w:r>
        <w:rPr>
          <w:rFonts w:ascii="Arial" w:cs="Arial" w:eastAsia="Arial" w:hAnsi="Arial"/>
          <w:sz w:val="22"/>
          <w:szCs w:val="22"/>
          <w:rtl/>
        </w:rPr>
        <w:t xml:space="preserve">טיפול בתגובות, הערות ועדכונים מרשות התכנון, עד לקבלת היתר רשמי.</w:t>
      </w:r>
    </w:p>
    <w:p>
      <w:pPr>
        <w:keepNext/>
        <w:bidi/>
        <w:spacing w:after="80" w:before="220"/>
      </w:pPr>
      <w:r>
        <w:rPr>
          <w:rFonts w:ascii="Arial" w:cs="Arial" w:eastAsia="Arial" w:hAnsi="Arial"/>
          <w:b/>
          <w:bCs/>
          <w:sz w:val="23"/>
          <w:szCs w:val="23"/>
          <w:rtl/>
        </w:rPr>
        <w:t xml:space="preserve">הערות</w:t>
      </w:r>
    </w:p>
    <w:p>
      <w:pPr>
        <w:pStyle w:val="ListParagraph"/>
        <w:numPr>
          <w:ilvl w:val="0"/>
          <w:numId w:val="2"/>
        </w:numPr>
        <w:bidi/>
        <w:spacing w:after="60" w:line="290"/>
      </w:pPr>
      <w:r>
        <w:rPr>
          <w:rFonts w:ascii="Arial" w:cs="Arial" w:eastAsia="Arial" w:hAnsi="Arial"/>
          <w:sz w:val="22"/>
          <w:szCs w:val="22"/>
          <w:rtl/>
        </w:rPr>
        <w:t xml:space="preserve">לוחות הזמנים בפועל תלויים במחזורי הטיפול של הוועדה המקומית, כפי שיוגדרו לאחר קבלת המידע, ובהתאם לדרישות בודקי הבקשה לאורך התהליך במערכת רישוי זמין.</w:t>
      </w:r>
    </w:p>
    <w:p>
      <w:pPr>
        <w:pStyle w:val="ListParagraph"/>
        <w:numPr>
          <w:ilvl w:val="0"/>
          <w:numId w:val="2"/>
        </w:numPr>
        <w:bidi/>
        <w:spacing w:after="60" w:line="290"/>
      </w:pPr>
      <w:r>
        <w:rPr>
          <w:rFonts w:ascii="Arial" w:cs="Arial" w:eastAsia="Arial" w:hAnsi="Arial"/>
          <w:sz w:val="22"/>
          <w:szCs w:val="22"/>
          <w:rtl/>
        </w:rPr>
        <w:t xml:space="preserve">מסמכים או אישורים הנוגעים למבנה הקיים (כגון מדידה, חתימות, נסח טאבו וכו') יסופקו ע"י המזמין.</w:t>
      </w:r>
    </w:p>
    <w:p>
      <w:pPr>
        <w:pStyle w:val="ListParagraph"/>
        <w:numPr>
          <w:ilvl w:val="0"/>
          <w:numId w:val="2"/>
        </w:numPr>
        <w:bidi/>
        <w:spacing w:after="60" w:line="290"/>
      </w:pPr>
      <w:r>
        <w:rPr>
          <w:rFonts w:ascii="Arial" w:cs="Arial" w:eastAsia="Arial" w:hAnsi="Arial"/>
          <w:sz w:val="22"/>
          <w:szCs w:val="22"/>
          <w:rtl/>
        </w:rPr>
        <w:t xml:space="preserve">למען הסר ספק, המזמין מצהיר כי ידוע לו שהאדריכלית אינה יכולה להתחייב שהוועדה תאשר את הבקשה, והאדריכלית לא תישא באחריות לתוצאות החלטת הוועדה.</w:t>
      </w:r>
    </w:p>
    <w:p>
      <w:pPr>
        <w:keepNext/>
        <w:pBdr>
          <w:bottom w:val="single" w:color="C9C2BC" w:sz="6" w:space="4"/>
        </w:pBdr>
        <w:bidi/>
        <w:spacing w:after="140" w:before="360"/>
      </w:pPr>
      <w:r>
        <w:rPr>
          <w:rFonts w:ascii="Arial" w:cs="Arial" w:eastAsia="Arial" w:hAnsi="Arial"/>
          <w:b/>
          <w:bCs/>
          <w:color w:val="6E625A"/>
          <w:sz w:val="26"/>
          <w:szCs w:val="26"/>
          <w:rtl/>
        </w:rPr>
        <w:t xml:space="preserve">3. ההצעה אינה כוללת</w:t>
      </w:r>
    </w:p>
    <w:p>
      <w:pPr>
        <w:pStyle w:val="ListParagraph"/>
        <w:numPr>
          <w:ilvl w:val="0"/>
          <w:numId w:val="2"/>
        </w:numPr>
        <w:bidi/>
        <w:spacing w:after="60" w:line="290"/>
      </w:pPr>
      <w:r>
        <w:rPr>
          <w:rFonts w:ascii="Arial" w:cs="Arial" w:eastAsia="Arial" w:hAnsi="Arial"/>
          <w:sz w:val="22"/>
          <w:szCs w:val="22"/>
          <w:rtl/>
        </w:rPr>
        <w:t xml:space="preserve">תשלום על שירותים ויועצים הנדרשים לקבלת ההיתר, לרבות מהנדס, מודד וכו'.</w:t>
      </w:r>
    </w:p>
    <w:p>
      <w:pPr>
        <w:pStyle w:val="ListParagraph"/>
        <w:numPr>
          <w:ilvl w:val="0"/>
          <w:numId w:val="2"/>
        </w:numPr>
        <w:bidi/>
        <w:spacing w:after="60" w:line="290"/>
      </w:pPr>
      <w:r>
        <w:rPr>
          <w:rFonts w:ascii="Arial" w:cs="Arial" w:eastAsia="Arial" w:hAnsi="Arial"/>
          <w:sz w:val="22"/>
          <w:szCs w:val="22"/>
          <w:rtl/>
        </w:rPr>
        <w:t xml:space="preserve">הפקת נסח טאבו, תשלום אגרות, היטלים, מיסים וכו', וכן הדפסות ושליחתן.</w:t>
      </w:r>
    </w:p>
    <w:p>
      <w:pPr>
        <w:pStyle w:val="ListParagraph"/>
        <w:numPr>
          <w:ilvl w:val="0"/>
          <w:numId w:val="2"/>
        </w:numPr>
        <w:bidi/>
        <w:spacing w:after="60" w:line="290"/>
      </w:pPr>
      <w:r>
        <w:rPr>
          <w:rFonts w:ascii="Arial" w:cs="Arial" w:eastAsia="Arial" w:hAnsi="Arial"/>
          <w:sz w:val="22"/>
          <w:szCs w:val="22"/>
          <w:rtl/>
        </w:rPr>
        <w:t xml:space="preserve">פיקוח על ביצוע הבנייה או על טיבה, וכל הקשור לביצוע: לוחות זמנים, ביטוחים, תמחור וכו'. לפיכך האדריכלית אינה אחראית לביקורת של רשות הרישוי על הביצוע.</w:t>
      </w:r>
    </w:p>
    <w:p>
      <w:pPr>
        <w:keepNext/>
        <w:pBdr>
          <w:bottom w:val="single" w:color="C9C2BC" w:sz="6" w:space="4"/>
        </w:pBdr>
        <w:bidi/>
        <w:spacing w:after="140" w:before="360"/>
      </w:pPr>
      <w:r>
        <w:rPr>
          <w:rFonts w:ascii="Arial" w:cs="Arial" w:eastAsia="Arial" w:hAnsi="Arial"/>
          <w:b/>
          <w:bCs/>
          <w:color w:val="6E625A"/>
          <w:sz w:val="26"/>
          <w:szCs w:val="26"/>
          <w:rtl/>
        </w:rPr>
        <w:t xml:space="preserve">4. הגבלת אחריות</w:t>
      </w:r>
    </w:p>
    <w:p>
      <w:pPr>
        <w:pStyle w:val="ListParagraph"/>
        <w:numPr>
          <w:ilvl w:val="0"/>
          <w:numId w:val="3"/>
        </w:numPr>
        <w:bidi/>
        <w:spacing w:after="80" w:line="290"/>
      </w:pPr>
      <w:r>
        <w:rPr>
          <w:rFonts w:ascii="Arial" w:cs="Arial" w:eastAsia="Arial" w:hAnsi="Arial"/>
          <w:b/>
          <w:bCs/>
          <w:sz w:val="22"/>
          <w:szCs w:val="22"/>
          <w:rtl/>
        </w:rPr>
        <w:t xml:space="preserve">חריגות בנייה קיימות:</w:t>
      </w:r>
      <w:r>
        <w:rPr>
          <w:rFonts w:ascii="Arial" w:cs="Arial" w:eastAsia="Arial" w:hAnsi="Arial"/>
          <w:sz w:val="22"/>
          <w:szCs w:val="22"/>
          <w:rtl/>
        </w:rPr>
        <w:t xml:space="preserve"> ההיתר אינו כולל בדיקה, תכנון או טיפול בחריגות בנייה קיימות, חיזוק מבנים, שיפוץ מערכות, התאמת שטחים או כל עבודה אחרת, ואינו כולל הסדרה של חריגות מההיתר הקיים בשטחים המשותפים או הפרטיים של הבניין, או שינוי בעיצוב החזיתות או בכל אלמנט אחר בחזיתות המבנה ביחס להיתר הבנייה הקיים. היה ותימצא חריגה ע"י פיקוח הבנייה במהלך התהליך – לא תהיה למזמין או למי מהדיירים טענה כלשהי, והאחריות תחול על מזמין העבודה בלבד.</w:t>
      </w:r>
    </w:p>
    <w:p>
      <w:pPr>
        <w:pStyle w:val="ListParagraph"/>
        <w:numPr>
          <w:ilvl w:val="0"/>
          <w:numId w:val="3"/>
        </w:numPr>
        <w:bidi/>
        <w:spacing w:after="80" w:line="290"/>
      </w:pPr>
      <w:r>
        <w:rPr>
          <w:rFonts w:ascii="Arial" w:cs="Arial" w:eastAsia="Arial" w:hAnsi="Arial"/>
          <w:b/>
          <w:bCs/>
          <w:sz w:val="22"/>
          <w:szCs w:val="22"/>
          <w:rtl/>
        </w:rPr>
        <w:t xml:space="preserve">התאמה להיתר הקיים:</w:t>
      </w:r>
      <w:r>
        <w:rPr>
          <w:rFonts w:ascii="Arial" w:cs="Arial" w:eastAsia="Arial" w:hAnsi="Arial"/>
          <w:sz w:val="22"/>
          <w:szCs w:val="22"/>
          <w:rtl/>
        </w:rPr>
        <w:t xml:space="preserve"> תבוצע התאמה מלאה של המבנה ושל כל אלמנט אחר הקיים בשטח לתוכנית ההיתר, ללא חריגות או שינויים, כדי שעורכת הבקשה תוכל להצהיר כי קיימת התאמה להיתר הקיים.</w:t>
      </w:r>
    </w:p>
    <w:p>
      <w:pPr>
        <w:pStyle w:val="ListParagraph"/>
        <w:numPr>
          <w:ilvl w:val="0"/>
          <w:numId w:val="3"/>
        </w:numPr>
        <w:bidi/>
        <w:spacing w:after="80" w:line="290"/>
      </w:pPr>
      <w:r>
        <w:rPr>
          <w:rFonts w:ascii="Arial" w:cs="Arial" w:eastAsia="Arial" w:hAnsi="Arial"/>
          <w:b/>
          <w:bCs/>
          <w:sz w:val="22"/>
          <w:szCs w:val="22"/>
          <w:rtl/>
        </w:rPr>
        <w:t xml:space="preserve">אי-התאמה של החזיתות:</w:t>
      </w:r>
      <w:r>
        <w:rPr>
          <w:rFonts w:ascii="Arial" w:cs="Arial" w:eastAsia="Arial" w:hAnsi="Arial"/>
          <w:sz w:val="22"/>
          <w:szCs w:val="22"/>
          <w:rtl/>
        </w:rPr>
        <w:t xml:space="preserve"> במידה ותימצא אי-התאמה של חזיתות המבנה להיתר, מוסכם כי האדריכלית רשאית להסיר את עצמה מתפקיד עורכת הבקשה, ולא תהיה כלפיה כל טענה או אחריות להסדרת חריגות אלה.</w:t>
      </w:r>
    </w:p>
    <w:p>
      <w:pPr>
        <w:pStyle w:val="ListParagraph"/>
        <w:numPr>
          <w:ilvl w:val="0"/>
          <w:numId w:val="3"/>
        </w:numPr>
        <w:bidi/>
        <w:spacing w:after="80" w:line="290"/>
      </w:pPr>
      <w:r>
        <w:rPr>
          <w:rFonts w:ascii="Arial" w:cs="Arial" w:eastAsia="Arial" w:hAnsi="Arial"/>
          <w:b/>
          <w:bCs/>
          <w:sz w:val="22"/>
          <w:szCs w:val="22"/>
          <w:rtl/>
        </w:rPr>
        <w:t xml:space="preserve">דרישות שאינן קשורות לפרגולה:</w:t>
      </w:r>
      <w:r>
        <w:rPr>
          <w:rFonts w:ascii="Arial" w:cs="Arial" w:eastAsia="Arial" w:hAnsi="Arial"/>
          <w:sz w:val="22"/>
          <w:szCs w:val="22"/>
          <w:rtl/>
        </w:rPr>
        <w:t xml:space="preserve"> אם במהלך התהליך יעלו דרישות מהרשות המקומית שאינן קשורות לתוספת הפרגולה (כגון דרישות בטיחות, תקנות עירוניות חדשות, או דרישה לפירוק אלמנטים שאינם קיימים בהיתר המקורי) – יוגדר שירות נוסף שיתומחר בנפרד, וכל תוספת תתואם ותאושר בכתב לפני ביצועה. פירוק אלמנטים שאינם קיימים בהיתר המקורי, ולוחות הזמנים לטיפול ולביצוע, הם באחריות המבקש בלבד. עיכוב בטיפול בבקשה כתוצאה מסעיפים אלה אינו באחריות האדריכלית.</w:t>
      </w:r>
    </w:p>
    <w:p>
      <w:pPr>
        <w:pStyle w:val="ListParagraph"/>
        <w:numPr>
          <w:ilvl w:val="0"/>
          <w:numId w:val="3"/>
        </w:numPr>
        <w:bidi/>
        <w:spacing w:after="80" w:line="290"/>
      </w:pPr>
      <w:r>
        <w:rPr>
          <w:rFonts w:ascii="Arial" w:cs="Arial" w:eastAsia="Arial" w:hAnsi="Arial"/>
          <w:b/>
          <w:bCs/>
          <w:sz w:val="22"/>
          <w:szCs w:val="22"/>
          <w:rtl/>
        </w:rPr>
        <w:t xml:space="preserve">ביצוע לאחר ההיתר:</w:t>
      </w:r>
      <w:r>
        <w:rPr>
          <w:rFonts w:ascii="Arial" w:cs="Arial" w:eastAsia="Arial" w:hAnsi="Arial"/>
          <w:sz w:val="22"/>
          <w:szCs w:val="22"/>
          <w:rtl/>
        </w:rPr>
        <w:t xml:space="preserve"> האחריות אינה כוללת כשל בעבודות הנדרשות לאחר קבלת ההיתר (כגון ביצוע הבנייה ע"י קבלנים).</w:t>
      </w:r>
    </w:p>
    <w:p>
      <w:pPr>
        <w:pStyle w:val="ListParagraph"/>
        <w:numPr>
          <w:ilvl w:val="0"/>
          <w:numId w:val="3"/>
        </w:numPr>
        <w:bidi/>
        <w:spacing w:after="80" w:line="290"/>
      </w:pPr>
      <w:r>
        <w:rPr>
          <w:rFonts w:ascii="Arial" w:cs="Arial" w:eastAsia="Arial" w:hAnsi="Arial"/>
          <w:b/>
          <w:bCs/>
          <w:sz w:val="22"/>
          <w:szCs w:val="22"/>
          <w:rtl/>
        </w:rPr>
        <w:t xml:space="preserve">התנגדויות:</w:t>
      </w:r>
      <w:r>
        <w:rPr>
          <w:rFonts w:ascii="Arial" w:cs="Arial" w:eastAsia="Arial" w:hAnsi="Arial"/>
          <w:sz w:val="22"/>
          <w:szCs w:val="22"/>
          <w:rtl/>
        </w:rPr>
        <w:t xml:space="preserve"> תהליך קבלת ההיתר עשוי לכלול תקופה שבה ניתן להגיש התנגדויות מצד שכנים או גורמים ציבוריים. הטיפול בהתנגדות, אם תוגש, אינו באחריות האדריכלית.</w:t>
      </w:r>
    </w:p>
    <w:p>
      <w:pPr>
        <w:keepNext/>
        <w:pBdr>
          <w:bottom w:val="single" w:color="C9C2BC" w:sz="6" w:space="4"/>
        </w:pBdr>
        <w:bidi/>
        <w:spacing w:after="140" w:before="360"/>
      </w:pPr>
      <w:r>
        <w:rPr>
          <w:rFonts w:ascii="Arial" w:cs="Arial" w:eastAsia="Arial" w:hAnsi="Arial"/>
          <w:b/>
          <w:bCs/>
          <w:color w:val="6E625A"/>
          <w:sz w:val="26"/>
          <w:szCs w:val="26"/>
          <w:rtl/>
        </w:rPr>
        <w:t xml:space="preserve">5. תנאים כלליים</w:t>
      </w:r>
    </w:p>
    <w:p>
      <w:pPr>
        <w:pStyle w:val="ListParagraph"/>
        <w:numPr>
          <w:ilvl w:val="0"/>
          <w:numId w:val="4"/>
        </w:numPr>
        <w:bidi/>
        <w:spacing w:after="80" w:line="290"/>
      </w:pPr>
      <w:r>
        <w:rPr>
          <w:rFonts w:ascii="Arial" w:cs="Arial" w:eastAsia="Arial" w:hAnsi="Arial"/>
          <w:b/>
          <w:bCs/>
          <w:sz w:val="22"/>
          <w:szCs w:val="22"/>
          <w:rtl/>
        </w:rPr>
        <w:t xml:space="preserve">קניין רוחני:</w:t>
      </w:r>
      <w:r>
        <w:rPr>
          <w:rFonts w:ascii="Arial" w:cs="Arial" w:eastAsia="Arial" w:hAnsi="Arial"/>
          <w:sz w:val="22"/>
          <w:szCs w:val="22"/>
          <w:rtl/>
        </w:rPr>
        <w:t xml:space="preserve"> כל התוכניות והמסמכים שיופקו ע"י האדריכלית הם רכושה המקצועי עד לתשלום מלא.</w:t>
      </w:r>
    </w:p>
    <w:p>
      <w:pPr>
        <w:pStyle w:val="ListParagraph"/>
        <w:numPr>
          <w:ilvl w:val="0"/>
          <w:numId w:val="4"/>
        </w:numPr>
        <w:bidi/>
        <w:spacing w:after="80" w:line="290"/>
      </w:pPr>
      <w:r>
        <w:rPr>
          <w:rFonts w:ascii="Arial" w:cs="Arial" w:eastAsia="Arial" w:hAnsi="Arial"/>
          <w:b/>
          <w:bCs/>
          <w:sz w:val="22"/>
          <w:szCs w:val="22"/>
          <w:rtl/>
        </w:rPr>
        <w:t xml:space="preserve">סיום התקשרות:</w:t>
      </w:r>
      <w:r>
        <w:rPr>
          <w:rFonts w:ascii="Arial" w:cs="Arial" w:eastAsia="Arial" w:hAnsi="Arial"/>
          <w:sz w:val="22"/>
          <w:szCs w:val="22"/>
          <w:rtl/>
        </w:rPr>
        <w:t xml:space="preserve"> כל צד רשאי לסיים הסכם זה בכל עת עד לשלב התכנון הסופי, בהודעה בכתב של 14 יום מראש, ובלבד ששכר המתכננת שולם במלואו עד לאותו שלב, לרבות השלב/ים הנמצא/ים בתהליך ההכנה, על פי שלבי העבודה המתוארים לעיל.</w:t>
      </w:r>
    </w:p>
    <w:p>
      <w:pPr>
        <w:pStyle w:val="ListParagraph"/>
        <w:numPr>
          <w:ilvl w:val="0"/>
          <w:numId w:val="4"/>
        </w:numPr>
        <w:bidi/>
        <w:spacing w:after="80" w:line="290"/>
      </w:pPr>
      <w:r>
        <w:rPr>
          <w:rFonts w:ascii="Arial" w:cs="Arial" w:eastAsia="Arial" w:hAnsi="Arial"/>
          <w:b/>
          <w:bCs/>
          <w:sz w:val="22"/>
          <w:szCs w:val="22"/>
          <w:rtl/>
        </w:rPr>
        <w:t xml:space="preserve">תחילת העבודה:</w:t>
      </w:r>
      <w:r>
        <w:rPr>
          <w:rFonts w:ascii="Arial" w:cs="Arial" w:eastAsia="Arial" w:hAnsi="Arial"/>
          <w:sz w:val="22"/>
          <w:szCs w:val="22"/>
          <w:rtl/>
        </w:rPr>
        <w:t xml:space="preserve"> עבודת האדריכלית תחל לאחר קבלת המקדמה הראשונית (התשלום הראשון בטבלה בפרק 6).</w:t>
      </w:r>
    </w:p>
    <w:p>
      <w:pPr>
        <w:pStyle w:val="ListParagraph"/>
        <w:numPr>
          <w:ilvl w:val="0"/>
          <w:numId w:val="4"/>
        </w:numPr>
        <w:bidi/>
        <w:spacing w:after="80" w:line="290"/>
      </w:pPr>
      <w:r>
        <w:rPr>
          <w:rFonts w:ascii="Arial" w:cs="Arial" w:eastAsia="Arial" w:hAnsi="Arial"/>
          <w:b/>
          <w:bCs/>
          <w:sz w:val="22"/>
          <w:szCs w:val="22"/>
          <w:rtl/>
        </w:rPr>
        <w:t xml:space="preserve">תוקף ההצעה:</w:t>
      </w:r>
      <w:r>
        <w:rPr>
          <w:rFonts w:ascii="Arial" w:cs="Arial" w:eastAsia="Arial" w:hAnsi="Arial"/>
          <w:sz w:val="22"/>
          <w:szCs w:val="22"/>
          <w:rtl/>
        </w:rPr>
        <w:t xml:space="preserve"> הצעה זו תקפה 30 יום ממועד שליחתה.</w:t>
      </w:r>
    </w:p>
    <w:p>
      <w:pPr>
        <w:keepNext/>
        <w:pBdr>
          <w:bottom w:val="single" w:color="C9C2BC" w:sz="6" w:space="4"/>
        </w:pBdr>
        <w:bidi/>
        <w:spacing w:after="140" w:before="360"/>
      </w:pPr>
      <w:r>
        <w:rPr>
          <w:rFonts w:ascii="Arial" w:cs="Arial" w:eastAsia="Arial" w:hAnsi="Arial"/>
          <w:b/>
          <w:bCs/>
          <w:color w:val="6E625A"/>
          <w:sz w:val="26"/>
          <w:szCs w:val="26"/>
          <w:rtl/>
        </w:rPr>
        <w:t xml:space="preserve">6. שכר טרחה ותנאי תשלום</w:t>
      </w:r>
    </w:p>
    <w:p>
      <w:pPr>
        <w:bidi/>
        <w:spacing w:after="100" w:line="300"/>
      </w:pPr>
      <w:r>
        <w:rPr>
          <w:rFonts w:ascii="Arial" w:cs="Arial" w:eastAsia="Arial" w:hAnsi="Arial"/>
          <w:sz w:val="22"/>
          <w:szCs w:val="22"/>
          <w:rtl/>
        </w:rPr>
        <w:t xml:space="preserve">שכר הטרחה עבור השירותים המפורטים לעיל: </w:t>
      </w:r>
      <w:r>
        <w:rPr>
          <w:rFonts w:ascii="Arial" w:cs="Arial" w:eastAsia="Arial" w:hAnsi="Arial"/>
          <w:b/>
          <w:bCs/>
          <w:sz w:val="22"/>
          <w:szCs w:val="22"/>
          <w:rtl/>
        </w:rPr>
        <w:t xml:space="preserve">20,000 ₪ + מע"מ</w:t>
      </w:r>
      <w:r>
        <w:rPr>
          <w:rFonts w:ascii="Arial" w:cs="Arial" w:eastAsia="Arial" w:hAnsi="Arial"/>
          <w:sz w:val="22"/>
          <w:szCs w:val="22"/>
          <w:rtl/>
        </w:rPr>
        <w:t xml:space="preserve">.</w:t>
      </w:r>
    </w:p>
    <w:p>
      <w:pPr>
        <w:bidi/>
        <w:spacing w:after="100" w:line="300"/>
      </w:pPr>
      <w:r>
        <w:rPr>
          <w:rFonts w:ascii="Arial" w:cs="Arial" w:eastAsia="Arial" w:hAnsi="Arial"/>
          <w:sz w:val="22"/>
          <w:szCs w:val="22"/>
          <w:rtl/>
        </w:rPr>
        <w:t xml:space="preserve">תעריף שעתי לעבודה מעבר למפורט: 380 ₪ + מע"מ לשעה.</w:t>
      </w:r>
    </w:p>
    <w:p>
      <w:pPr>
        <w:keepNext/>
        <w:bidi/>
        <w:spacing w:after="80" w:before="220"/>
      </w:pPr>
      <w:r>
        <w:rPr>
          <w:rFonts w:ascii="Arial" w:cs="Arial" w:eastAsia="Arial" w:hAnsi="Arial"/>
          <w:b/>
          <w:bCs/>
          <w:sz w:val="23"/>
          <w:szCs w:val="23"/>
          <w:rtl/>
        </w:rPr>
        <w:t xml:space="preserve">תוספת אפשרית – מחשוב ההיתר הקיים</w:t>
      </w:r>
    </w:p>
    <w:p>
      <w:pPr>
        <w:pStyle w:val="ListParagraph"/>
        <w:numPr>
          <w:ilvl w:val="0"/>
          <w:numId w:val="2"/>
        </w:numPr>
        <w:bidi/>
        <w:spacing w:after="60" w:line="290"/>
      </w:pPr>
      <w:r>
        <w:rPr>
          <w:rFonts w:ascii="Arial" w:cs="Arial" w:eastAsia="Arial" w:hAnsi="Arial"/>
          <w:sz w:val="22"/>
          <w:szCs w:val="22"/>
          <w:rtl/>
        </w:rPr>
        <w:t xml:space="preserve">הבקשה להיתר מסתמכת על ההיתר הקיים בארכיון העירייה. במידה ויידרש למחשב את ההיתר הקיים, תתווסף תוספת תשלום של עד 9,000 ₪, או תשלום לפי תעריף שעתי – הזול מביניהם.</w:t>
      </w:r>
    </w:p>
    <w:p>
      <w:pPr>
        <w:keepNext/>
        <w:bidi/>
        <w:spacing w:after="80" w:before="220"/>
      </w:pPr>
      <w:r>
        <w:rPr>
          <w:rFonts w:ascii="Arial" w:cs="Arial" w:eastAsia="Arial" w:hAnsi="Arial"/>
          <w:b/>
          <w:bCs/>
          <w:sz w:val="23"/>
          <w:szCs w:val="23"/>
          <w:rtl/>
        </w:rPr>
        <w:t xml:space="preserve">שלבי תשלום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5338"/>
        <w:gridCol w:w="1300"/>
        <w:gridCol w:w="2300"/>
      </w:tblGrid>
      <w:tr>
        <w:trPr>
          <w:cantSplit/>
          <w:tblHeader/>
        </w:trPr>
        <w:tc>
          <w:tcPr>
            <w:tcW w:type="dxa" w:w="700"/>
            <w:tcBorders>
              <w:top w:val="single" w:color="C9C2BC" w:sz="4"/>
              <w:left w:val="single" w:color="C9C2BC" w:sz="4"/>
              <w:bottom w:val="single" w:color="C9C2BC" w:sz="4"/>
              <w:right w:val="single" w:color="C9C2BC" w:sz="4"/>
            </w:tcBorders>
            <w:shd w:fill="F3F0ED" w:color="auto" w:val="clear"/>
            <w:tcMar>
              <w:top w:type="dxa" w:w="80"/>
              <w:left w:type="dxa" w:w="120"/>
              <w:bottom w:type="dxa" w:w="80"/>
              <w:right w:type="dxa" w:w="120"/>
            </w:tcMar>
            <w:vAlign w:val="center"/>
          </w:tcPr>
          <w:p>
            <w:pPr>
              <w:keepNext/>
              <w:bidi/>
              <w:spacing w:after="0"/>
              <w:jc w:val="center"/>
            </w:pPr>
            <w:r>
              <w:rPr>
                <w:rFonts w:ascii="Arial" w:cs="Arial" w:eastAsia="Arial" w:hAnsi="Arial"/>
                <w:b/>
                <w:bCs/>
                <w:sz w:val="21"/>
                <w:szCs w:val="21"/>
                <w:rtl/>
              </w:rPr>
              <w:t xml:space="preserve">#</w:t>
            </w:r>
          </w:p>
        </w:tc>
        <w:tc>
          <w:tcPr>
            <w:tcW w:type="dxa" w:w="5338"/>
            <w:tcBorders>
              <w:top w:val="single" w:color="C9C2BC" w:sz="4"/>
              <w:left w:val="single" w:color="C9C2BC" w:sz="4"/>
              <w:bottom w:val="single" w:color="C9C2BC" w:sz="4"/>
              <w:right w:val="single" w:color="C9C2BC" w:sz="4"/>
            </w:tcBorders>
            <w:shd w:fill="F3F0ED" w:color="auto" w:val="clear"/>
            <w:tcMar>
              <w:top w:type="dxa" w:w="80"/>
              <w:left w:type="dxa" w:w="120"/>
              <w:bottom w:type="dxa" w:w="80"/>
              <w:right w:type="dxa" w:w="120"/>
            </w:tcMar>
            <w:vAlign w:val="center"/>
          </w:tcPr>
          <w:p>
            <w:pPr>
              <w:keepNext/>
              <w:bidi/>
              <w:spacing w:after="0"/>
            </w:pPr>
            <w:r>
              <w:rPr>
                <w:rFonts w:ascii="Arial" w:cs="Arial" w:eastAsia="Arial" w:hAnsi="Arial"/>
                <w:b/>
                <w:bCs/>
                <w:sz w:val="21"/>
                <w:szCs w:val="21"/>
                <w:rtl/>
              </w:rPr>
              <w:t xml:space="preserve">אבן דרך לתשלום</w:t>
            </w:r>
          </w:p>
        </w:tc>
        <w:tc>
          <w:tcPr>
            <w:tcW w:type="dxa" w:w="1300"/>
            <w:tcBorders>
              <w:top w:val="single" w:color="C9C2BC" w:sz="4"/>
              <w:left w:val="single" w:color="C9C2BC" w:sz="4"/>
              <w:bottom w:val="single" w:color="C9C2BC" w:sz="4"/>
              <w:right w:val="single" w:color="C9C2BC" w:sz="4"/>
            </w:tcBorders>
            <w:shd w:fill="F3F0ED" w:color="auto" w:val="clear"/>
            <w:tcMar>
              <w:top w:type="dxa" w:w="80"/>
              <w:left w:type="dxa" w:w="120"/>
              <w:bottom w:type="dxa" w:w="80"/>
              <w:right w:type="dxa" w:w="120"/>
            </w:tcMar>
            <w:vAlign w:val="center"/>
          </w:tcPr>
          <w:p>
            <w:pPr>
              <w:keepNext/>
              <w:bidi/>
              <w:spacing w:after="0"/>
            </w:pPr>
            <w:r>
              <w:rPr>
                <w:rFonts w:ascii="Arial" w:cs="Arial" w:eastAsia="Arial" w:hAnsi="Arial"/>
                <w:b/>
                <w:bCs/>
                <w:sz w:val="21"/>
                <w:szCs w:val="21"/>
                <w:rtl/>
              </w:rPr>
              <w:t xml:space="preserve">אחוז</w:t>
            </w:r>
          </w:p>
        </w:tc>
        <w:tc>
          <w:tcPr>
            <w:tcW w:type="dxa" w:w="2300"/>
            <w:tcBorders>
              <w:top w:val="single" w:color="C9C2BC" w:sz="4"/>
              <w:left w:val="single" w:color="C9C2BC" w:sz="4"/>
              <w:bottom w:val="single" w:color="C9C2BC" w:sz="4"/>
              <w:right w:val="single" w:color="C9C2BC" w:sz="4"/>
            </w:tcBorders>
            <w:shd w:fill="F3F0ED" w:color="auto" w:val="clear"/>
            <w:tcMar>
              <w:top w:type="dxa" w:w="80"/>
              <w:left w:type="dxa" w:w="120"/>
              <w:bottom w:type="dxa" w:w="80"/>
              <w:right w:type="dxa" w:w="120"/>
            </w:tcMar>
            <w:vAlign w:val="center"/>
          </w:tcPr>
          <w:p>
            <w:pPr>
              <w:keepNext/>
              <w:bidi/>
              <w:spacing w:after="0"/>
            </w:pPr>
            <w:r>
              <w:rPr>
                <w:rFonts w:ascii="Arial" w:cs="Arial" w:eastAsia="Arial" w:hAnsi="Arial"/>
                <w:b/>
                <w:bCs/>
                <w:sz w:val="21"/>
                <w:szCs w:val="21"/>
                <w:rtl/>
              </w:rPr>
              <w:t xml:space="preserve">סכום (₪, לפני מע"מ)</w:t>
            </w:r>
          </w:p>
        </w:tc>
      </w:tr>
      <w:tr>
        <w:trPr>
          <w:cantSplit/>
          <w:tblHeader w:val="false"/>
        </w:trPr>
        <w:tc>
          <w:tcPr>
            <w:tcW w:type="dxa" w:w="700"/>
            <w:tcBorders>
              <w:top w:val="single" w:color="C9C2BC" w:sz="4"/>
              <w:left w:val="single" w:color="C9C2BC" w:sz="4"/>
              <w:bottom w:val="single" w:color="C9C2BC" w:sz="4"/>
              <w:right w:val="single" w:color="C9C2BC" w:sz="4"/>
            </w:tcBorders>
            <w:tcMar>
              <w:top w:type="dxa" w:w="80"/>
              <w:left w:type="dxa" w:w="120"/>
              <w:bottom w:type="dxa" w:w="80"/>
              <w:right w:type="dxa" w:w="120"/>
            </w:tcMar>
            <w:vAlign w:val="center"/>
          </w:tcPr>
          <w:p>
            <w:pPr>
              <w:keepNext/>
              <w:bidi/>
              <w:spacing w:after="0"/>
              <w:jc w:val="center"/>
            </w:pPr>
            <w:r>
              <w:rPr>
                <w:rFonts w:ascii="Arial" w:cs="Arial" w:eastAsia="Arial" w:hAnsi="Arial"/>
                <w:b w:val="false"/>
                <w:bCs w:val="false"/>
                <w:sz w:val="21"/>
                <w:szCs w:val="21"/>
                <w:rtl/>
              </w:rPr>
              <w:t xml:space="preserve">1</w:t>
            </w:r>
          </w:p>
        </w:tc>
        <w:tc>
          <w:tcPr>
            <w:tcW w:type="dxa" w:w="5338"/>
            <w:tcBorders>
              <w:top w:val="single" w:color="C9C2BC" w:sz="4"/>
              <w:left w:val="single" w:color="C9C2BC" w:sz="4"/>
              <w:bottom w:val="single" w:color="C9C2BC" w:sz="4"/>
              <w:right w:val="single" w:color="C9C2BC" w:sz="4"/>
            </w:tcBorders>
            <w:tcMar>
              <w:top w:type="dxa" w:w="80"/>
              <w:left w:type="dxa" w:w="120"/>
              <w:bottom w:type="dxa" w:w="80"/>
              <w:right w:type="dxa" w:w="120"/>
            </w:tcMar>
            <w:vAlign w:val="center"/>
          </w:tcPr>
          <w:p>
            <w:pPr>
              <w:keepNext/>
              <w:bidi/>
              <w:spacing w:after="0"/>
            </w:pPr>
            <w:r>
              <w:rPr>
                <w:rFonts w:ascii="Arial" w:cs="Arial" w:eastAsia="Arial" w:hAnsi="Arial"/>
                <w:b w:val="false"/>
                <w:bCs w:val="false"/>
                <w:sz w:val="21"/>
                <w:szCs w:val="21"/>
                <w:rtl/>
              </w:rPr>
              <w:t xml:space="preserve">בחתימת החוזה</w:t>
            </w:r>
          </w:p>
        </w:tc>
        <w:tc>
          <w:tcPr>
            <w:tcW w:type="dxa" w:w="1300"/>
            <w:tcBorders>
              <w:top w:val="single" w:color="C9C2BC" w:sz="4"/>
              <w:left w:val="single" w:color="C9C2BC" w:sz="4"/>
              <w:bottom w:val="single" w:color="C9C2BC" w:sz="4"/>
              <w:right w:val="single" w:color="C9C2BC" w:sz="4"/>
            </w:tcBorders>
            <w:tcMar>
              <w:top w:type="dxa" w:w="80"/>
              <w:left w:type="dxa" w:w="120"/>
              <w:bottom w:type="dxa" w:w="80"/>
              <w:right w:type="dxa" w:w="120"/>
            </w:tcMar>
            <w:vAlign w:val="center"/>
          </w:tcPr>
          <w:p>
            <w:pPr>
              <w:keepNext/>
              <w:bidi/>
              <w:spacing w:after="0"/>
            </w:pPr>
            <w:r>
              <w:rPr>
                <w:rFonts w:ascii="Arial" w:cs="Arial" w:eastAsia="Arial" w:hAnsi="Arial"/>
                <w:b w:val="false"/>
                <w:bCs w:val="false"/>
                <w:sz w:val="21"/>
                <w:szCs w:val="21"/>
                <w:rtl/>
              </w:rPr>
              <w:t xml:space="preserve">20%</w:t>
            </w:r>
          </w:p>
        </w:tc>
        <w:tc>
          <w:tcPr>
            <w:tcW w:type="dxa" w:w="2300"/>
            <w:tcBorders>
              <w:top w:val="single" w:color="C9C2BC" w:sz="4"/>
              <w:left w:val="single" w:color="C9C2BC" w:sz="4"/>
              <w:bottom w:val="single" w:color="C9C2BC" w:sz="4"/>
              <w:right w:val="single" w:color="C9C2BC" w:sz="4"/>
            </w:tcBorders>
            <w:tcMar>
              <w:top w:type="dxa" w:w="80"/>
              <w:left w:type="dxa" w:w="120"/>
              <w:bottom w:type="dxa" w:w="80"/>
              <w:right w:type="dxa" w:w="120"/>
            </w:tcMar>
            <w:vAlign w:val="center"/>
          </w:tcPr>
          <w:p>
            <w:pPr>
              <w:keepNext/>
              <w:bidi/>
              <w:spacing w:after="0"/>
            </w:pPr>
            <w:r>
              <w:rPr>
                <w:rFonts w:ascii="Arial" w:cs="Arial" w:eastAsia="Arial" w:hAnsi="Arial"/>
                <w:b w:val="false"/>
                <w:bCs w:val="false"/>
                <w:sz w:val="21"/>
                <w:szCs w:val="21"/>
                <w:rtl/>
              </w:rPr>
              <w:t xml:space="preserve">4,000</w:t>
            </w:r>
          </w:p>
        </w:tc>
      </w:tr>
      <w:tr>
        <w:trPr>
          <w:cantSplit/>
          <w:tblHeader w:val="false"/>
        </w:trPr>
        <w:tc>
          <w:tcPr>
            <w:tcW w:type="dxa" w:w="700"/>
            <w:tcBorders>
              <w:top w:val="single" w:color="C9C2BC" w:sz="4"/>
              <w:left w:val="single" w:color="C9C2BC" w:sz="4"/>
              <w:bottom w:val="single" w:color="C9C2BC" w:sz="4"/>
              <w:right w:val="single" w:color="C9C2BC" w:sz="4"/>
            </w:tcBorders>
            <w:tcMar>
              <w:top w:type="dxa" w:w="80"/>
              <w:left w:type="dxa" w:w="120"/>
              <w:bottom w:type="dxa" w:w="80"/>
              <w:right w:type="dxa" w:w="120"/>
            </w:tcMar>
            <w:vAlign w:val="center"/>
          </w:tcPr>
          <w:p>
            <w:pPr>
              <w:keepNext/>
              <w:bidi/>
              <w:spacing w:after="0"/>
              <w:jc w:val="center"/>
            </w:pPr>
            <w:r>
              <w:rPr>
                <w:rFonts w:ascii="Arial" w:cs="Arial" w:eastAsia="Arial" w:hAnsi="Arial"/>
                <w:b w:val="false"/>
                <w:bCs w:val="false"/>
                <w:sz w:val="21"/>
                <w:szCs w:val="21"/>
                <w:rtl/>
              </w:rPr>
              <w:t xml:space="preserve">2</w:t>
            </w:r>
          </w:p>
        </w:tc>
        <w:tc>
          <w:tcPr>
            <w:tcW w:type="dxa" w:w="5338"/>
            <w:tcBorders>
              <w:top w:val="single" w:color="C9C2BC" w:sz="4"/>
              <w:left w:val="single" w:color="C9C2BC" w:sz="4"/>
              <w:bottom w:val="single" w:color="C9C2BC" w:sz="4"/>
              <w:right w:val="single" w:color="C9C2BC" w:sz="4"/>
            </w:tcBorders>
            <w:tcMar>
              <w:top w:type="dxa" w:w="80"/>
              <w:left w:type="dxa" w:w="120"/>
              <w:bottom w:type="dxa" w:w="80"/>
              <w:right w:type="dxa" w:w="120"/>
            </w:tcMar>
            <w:vAlign w:val="center"/>
          </w:tcPr>
          <w:p>
            <w:pPr>
              <w:keepNext/>
              <w:bidi/>
              <w:spacing w:after="0"/>
            </w:pPr>
            <w:r>
              <w:rPr>
                <w:rFonts w:ascii="Arial" w:cs="Arial" w:eastAsia="Arial" w:hAnsi="Arial"/>
                <w:b w:val="false"/>
                <w:bCs w:val="false"/>
                <w:sz w:val="21"/>
                <w:szCs w:val="21"/>
                <w:rtl/>
              </w:rPr>
              <w:t xml:space="preserve">בקבלת המידע להיתר</w:t>
            </w:r>
          </w:p>
        </w:tc>
        <w:tc>
          <w:tcPr>
            <w:tcW w:type="dxa" w:w="1300"/>
            <w:tcBorders>
              <w:top w:val="single" w:color="C9C2BC" w:sz="4"/>
              <w:left w:val="single" w:color="C9C2BC" w:sz="4"/>
              <w:bottom w:val="single" w:color="C9C2BC" w:sz="4"/>
              <w:right w:val="single" w:color="C9C2BC" w:sz="4"/>
            </w:tcBorders>
            <w:tcMar>
              <w:top w:type="dxa" w:w="80"/>
              <w:left w:type="dxa" w:w="120"/>
              <w:bottom w:type="dxa" w:w="80"/>
              <w:right w:type="dxa" w:w="120"/>
            </w:tcMar>
            <w:vAlign w:val="center"/>
          </w:tcPr>
          <w:p>
            <w:pPr>
              <w:keepNext/>
              <w:bidi/>
              <w:spacing w:after="0"/>
            </w:pPr>
            <w:r>
              <w:rPr>
                <w:rFonts w:ascii="Arial" w:cs="Arial" w:eastAsia="Arial" w:hAnsi="Arial"/>
                <w:b w:val="false"/>
                <w:bCs w:val="false"/>
                <w:sz w:val="21"/>
                <w:szCs w:val="21"/>
                <w:rtl/>
              </w:rPr>
              <w:t xml:space="preserve">10%</w:t>
            </w:r>
          </w:p>
        </w:tc>
        <w:tc>
          <w:tcPr>
            <w:tcW w:type="dxa" w:w="2300"/>
            <w:tcBorders>
              <w:top w:val="single" w:color="C9C2BC" w:sz="4"/>
              <w:left w:val="single" w:color="C9C2BC" w:sz="4"/>
              <w:bottom w:val="single" w:color="C9C2BC" w:sz="4"/>
              <w:right w:val="single" w:color="C9C2BC" w:sz="4"/>
            </w:tcBorders>
            <w:tcMar>
              <w:top w:type="dxa" w:w="80"/>
              <w:left w:type="dxa" w:w="120"/>
              <w:bottom w:type="dxa" w:w="80"/>
              <w:right w:type="dxa" w:w="120"/>
            </w:tcMar>
            <w:vAlign w:val="center"/>
          </w:tcPr>
          <w:p>
            <w:pPr>
              <w:keepNext/>
              <w:bidi/>
              <w:spacing w:after="0"/>
            </w:pPr>
            <w:r>
              <w:rPr>
                <w:rFonts w:ascii="Arial" w:cs="Arial" w:eastAsia="Arial" w:hAnsi="Arial"/>
                <w:b w:val="false"/>
                <w:bCs w:val="false"/>
                <w:sz w:val="21"/>
                <w:szCs w:val="21"/>
                <w:rtl/>
              </w:rPr>
              <w:t xml:space="preserve">2,000</w:t>
            </w:r>
          </w:p>
        </w:tc>
      </w:tr>
      <w:tr>
        <w:trPr>
          <w:cantSplit/>
          <w:tblHeader w:val="false"/>
        </w:trPr>
        <w:tc>
          <w:tcPr>
            <w:tcW w:type="dxa" w:w="700"/>
            <w:tcBorders>
              <w:top w:val="single" w:color="C9C2BC" w:sz="4"/>
              <w:left w:val="single" w:color="C9C2BC" w:sz="4"/>
              <w:bottom w:val="single" w:color="C9C2BC" w:sz="4"/>
              <w:right w:val="single" w:color="C9C2BC" w:sz="4"/>
            </w:tcBorders>
            <w:tcMar>
              <w:top w:type="dxa" w:w="80"/>
              <w:left w:type="dxa" w:w="120"/>
              <w:bottom w:type="dxa" w:w="80"/>
              <w:right w:type="dxa" w:w="120"/>
            </w:tcMar>
            <w:vAlign w:val="center"/>
          </w:tcPr>
          <w:p>
            <w:pPr>
              <w:keepNext/>
              <w:bidi/>
              <w:spacing w:after="0"/>
              <w:jc w:val="center"/>
            </w:pPr>
            <w:r>
              <w:rPr>
                <w:rFonts w:ascii="Arial" w:cs="Arial" w:eastAsia="Arial" w:hAnsi="Arial"/>
                <w:b w:val="false"/>
                <w:bCs w:val="false"/>
                <w:sz w:val="21"/>
                <w:szCs w:val="21"/>
                <w:rtl/>
              </w:rPr>
              <w:t xml:space="preserve">3</w:t>
            </w:r>
          </w:p>
        </w:tc>
        <w:tc>
          <w:tcPr>
            <w:tcW w:type="dxa" w:w="5338"/>
            <w:tcBorders>
              <w:top w:val="single" w:color="C9C2BC" w:sz="4"/>
              <w:left w:val="single" w:color="C9C2BC" w:sz="4"/>
              <w:bottom w:val="single" w:color="C9C2BC" w:sz="4"/>
              <w:right w:val="single" w:color="C9C2BC" w:sz="4"/>
            </w:tcBorders>
            <w:tcMar>
              <w:top w:type="dxa" w:w="80"/>
              <w:left w:type="dxa" w:w="120"/>
              <w:bottom w:type="dxa" w:w="80"/>
              <w:right w:type="dxa" w:w="120"/>
            </w:tcMar>
            <w:vAlign w:val="center"/>
          </w:tcPr>
          <w:p>
            <w:pPr>
              <w:keepNext/>
              <w:bidi/>
              <w:spacing w:after="0"/>
            </w:pPr>
            <w:r>
              <w:rPr>
                <w:rFonts w:ascii="Arial" w:cs="Arial" w:eastAsia="Arial" w:hAnsi="Arial"/>
                <w:b w:val="false"/>
                <w:bCs w:val="false"/>
                <w:sz w:val="21"/>
                <w:szCs w:val="21"/>
                <w:rtl/>
              </w:rPr>
              <w:t xml:space="preserve">בעת הגשת הבקשה להיתר</w:t>
            </w:r>
          </w:p>
        </w:tc>
        <w:tc>
          <w:tcPr>
            <w:tcW w:type="dxa" w:w="1300"/>
            <w:tcBorders>
              <w:top w:val="single" w:color="C9C2BC" w:sz="4"/>
              <w:left w:val="single" w:color="C9C2BC" w:sz="4"/>
              <w:bottom w:val="single" w:color="C9C2BC" w:sz="4"/>
              <w:right w:val="single" w:color="C9C2BC" w:sz="4"/>
            </w:tcBorders>
            <w:tcMar>
              <w:top w:type="dxa" w:w="80"/>
              <w:left w:type="dxa" w:w="120"/>
              <w:bottom w:type="dxa" w:w="80"/>
              <w:right w:type="dxa" w:w="120"/>
            </w:tcMar>
            <w:vAlign w:val="center"/>
          </w:tcPr>
          <w:p>
            <w:pPr>
              <w:keepNext/>
              <w:bidi/>
              <w:spacing w:after="0"/>
            </w:pPr>
            <w:r>
              <w:rPr>
                <w:rFonts w:ascii="Arial" w:cs="Arial" w:eastAsia="Arial" w:hAnsi="Arial"/>
                <w:b w:val="false"/>
                <w:bCs w:val="false"/>
                <w:sz w:val="21"/>
                <w:szCs w:val="21"/>
                <w:rtl/>
              </w:rPr>
              <w:t xml:space="preserve">30%</w:t>
            </w:r>
          </w:p>
        </w:tc>
        <w:tc>
          <w:tcPr>
            <w:tcW w:type="dxa" w:w="2300"/>
            <w:tcBorders>
              <w:top w:val="single" w:color="C9C2BC" w:sz="4"/>
              <w:left w:val="single" w:color="C9C2BC" w:sz="4"/>
              <w:bottom w:val="single" w:color="C9C2BC" w:sz="4"/>
              <w:right w:val="single" w:color="C9C2BC" w:sz="4"/>
            </w:tcBorders>
            <w:tcMar>
              <w:top w:type="dxa" w:w="80"/>
              <w:left w:type="dxa" w:w="120"/>
              <w:bottom w:type="dxa" w:w="80"/>
              <w:right w:type="dxa" w:w="120"/>
            </w:tcMar>
            <w:vAlign w:val="center"/>
          </w:tcPr>
          <w:p>
            <w:pPr>
              <w:keepNext/>
              <w:bidi/>
              <w:spacing w:after="0"/>
            </w:pPr>
            <w:r>
              <w:rPr>
                <w:rFonts w:ascii="Arial" w:cs="Arial" w:eastAsia="Arial" w:hAnsi="Arial"/>
                <w:b w:val="false"/>
                <w:bCs w:val="false"/>
                <w:sz w:val="21"/>
                <w:szCs w:val="21"/>
                <w:rtl/>
              </w:rPr>
              <w:t xml:space="preserve">6,000</w:t>
            </w:r>
          </w:p>
        </w:tc>
      </w:tr>
      <w:tr>
        <w:trPr>
          <w:cantSplit/>
          <w:tblHeader w:val="false"/>
        </w:trPr>
        <w:tc>
          <w:tcPr>
            <w:tcW w:type="dxa" w:w="700"/>
            <w:tcBorders>
              <w:top w:val="single" w:color="C9C2BC" w:sz="4"/>
              <w:left w:val="single" w:color="C9C2BC" w:sz="4"/>
              <w:bottom w:val="single" w:color="C9C2BC" w:sz="4"/>
              <w:right w:val="single" w:color="C9C2BC" w:sz="4"/>
            </w:tcBorders>
            <w:tcMar>
              <w:top w:type="dxa" w:w="80"/>
              <w:left w:type="dxa" w:w="120"/>
              <w:bottom w:type="dxa" w:w="80"/>
              <w:right w:type="dxa" w:w="120"/>
            </w:tcMar>
            <w:vAlign w:val="center"/>
          </w:tcPr>
          <w:p>
            <w:pPr>
              <w:keepNext/>
              <w:bidi/>
              <w:spacing w:after="0"/>
              <w:jc w:val="center"/>
            </w:pPr>
            <w:r>
              <w:rPr>
                <w:rFonts w:ascii="Arial" w:cs="Arial" w:eastAsia="Arial" w:hAnsi="Arial"/>
                <w:b w:val="false"/>
                <w:bCs w:val="false"/>
                <w:sz w:val="21"/>
                <w:szCs w:val="21"/>
                <w:rtl/>
              </w:rPr>
              <w:t xml:space="preserve">4</w:t>
            </w:r>
          </w:p>
        </w:tc>
        <w:tc>
          <w:tcPr>
            <w:tcW w:type="dxa" w:w="5338"/>
            <w:tcBorders>
              <w:top w:val="single" w:color="C9C2BC" w:sz="4"/>
              <w:left w:val="single" w:color="C9C2BC" w:sz="4"/>
              <w:bottom w:val="single" w:color="C9C2BC" w:sz="4"/>
              <w:right w:val="single" w:color="C9C2BC" w:sz="4"/>
            </w:tcBorders>
            <w:tcMar>
              <w:top w:type="dxa" w:w="80"/>
              <w:left w:type="dxa" w:w="120"/>
              <w:bottom w:type="dxa" w:w="80"/>
              <w:right w:type="dxa" w:w="120"/>
            </w:tcMar>
            <w:vAlign w:val="center"/>
          </w:tcPr>
          <w:p>
            <w:pPr>
              <w:keepNext/>
              <w:bidi/>
              <w:spacing w:after="0"/>
            </w:pPr>
            <w:r>
              <w:rPr>
                <w:rFonts w:ascii="Arial" w:cs="Arial" w:eastAsia="Arial" w:hAnsi="Arial"/>
                <w:b w:val="false"/>
                <w:bCs w:val="false"/>
                <w:sz w:val="21"/>
                <w:szCs w:val="21"/>
                <w:rtl/>
              </w:rPr>
              <w:t xml:space="preserve">בסיום דרישות אישור התנאים המקדימים להיתר (הבקשה ממתינה לדיון בוועדה)</w:t>
            </w:r>
          </w:p>
        </w:tc>
        <w:tc>
          <w:tcPr>
            <w:tcW w:type="dxa" w:w="1300"/>
            <w:tcBorders>
              <w:top w:val="single" w:color="C9C2BC" w:sz="4"/>
              <w:left w:val="single" w:color="C9C2BC" w:sz="4"/>
              <w:bottom w:val="single" w:color="C9C2BC" w:sz="4"/>
              <w:right w:val="single" w:color="C9C2BC" w:sz="4"/>
            </w:tcBorders>
            <w:tcMar>
              <w:top w:type="dxa" w:w="80"/>
              <w:left w:type="dxa" w:w="120"/>
              <w:bottom w:type="dxa" w:w="80"/>
              <w:right w:type="dxa" w:w="120"/>
            </w:tcMar>
            <w:vAlign w:val="center"/>
          </w:tcPr>
          <w:p>
            <w:pPr>
              <w:keepNext/>
              <w:bidi/>
              <w:spacing w:after="0"/>
            </w:pPr>
            <w:r>
              <w:rPr>
                <w:rFonts w:ascii="Arial" w:cs="Arial" w:eastAsia="Arial" w:hAnsi="Arial"/>
                <w:b w:val="false"/>
                <w:bCs w:val="false"/>
                <w:sz w:val="21"/>
                <w:szCs w:val="21"/>
                <w:rtl/>
              </w:rPr>
              <w:t xml:space="preserve">20%</w:t>
            </w:r>
          </w:p>
        </w:tc>
        <w:tc>
          <w:tcPr>
            <w:tcW w:type="dxa" w:w="2300"/>
            <w:tcBorders>
              <w:top w:val="single" w:color="C9C2BC" w:sz="4"/>
              <w:left w:val="single" w:color="C9C2BC" w:sz="4"/>
              <w:bottom w:val="single" w:color="C9C2BC" w:sz="4"/>
              <w:right w:val="single" w:color="C9C2BC" w:sz="4"/>
            </w:tcBorders>
            <w:tcMar>
              <w:top w:type="dxa" w:w="80"/>
              <w:left w:type="dxa" w:w="120"/>
              <w:bottom w:type="dxa" w:w="80"/>
              <w:right w:type="dxa" w:w="120"/>
            </w:tcMar>
            <w:vAlign w:val="center"/>
          </w:tcPr>
          <w:p>
            <w:pPr>
              <w:keepNext/>
              <w:bidi/>
              <w:spacing w:after="0"/>
            </w:pPr>
            <w:r>
              <w:rPr>
                <w:rFonts w:ascii="Arial" w:cs="Arial" w:eastAsia="Arial" w:hAnsi="Arial"/>
                <w:b w:val="false"/>
                <w:bCs w:val="false"/>
                <w:sz w:val="21"/>
                <w:szCs w:val="21"/>
                <w:rtl/>
              </w:rPr>
              <w:t xml:space="preserve">4,000</w:t>
            </w:r>
          </w:p>
        </w:tc>
      </w:tr>
      <w:tr>
        <w:trPr>
          <w:cantSplit/>
          <w:tblHeader w:val="false"/>
        </w:trPr>
        <w:tc>
          <w:tcPr>
            <w:tcW w:type="dxa" w:w="700"/>
            <w:tcBorders>
              <w:top w:val="single" w:color="C9C2BC" w:sz="4"/>
              <w:left w:val="single" w:color="C9C2BC" w:sz="4"/>
              <w:bottom w:val="single" w:color="C9C2BC" w:sz="4"/>
              <w:right w:val="single" w:color="C9C2BC" w:sz="4"/>
            </w:tcBorders>
            <w:tcMar>
              <w:top w:type="dxa" w:w="80"/>
              <w:left w:type="dxa" w:w="120"/>
              <w:bottom w:type="dxa" w:w="80"/>
              <w:right w:type="dxa" w:w="120"/>
            </w:tcMar>
            <w:vAlign w:val="center"/>
          </w:tcPr>
          <w:p>
            <w:pPr>
              <w:keepNext/>
              <w:bidi/>
              <w:spacing w:after="0"/>
              <w:jc w:val="center"/>
            </w:pPr>
            <w:r>
              <w:rPr>
                <w:rFonts w:ascii="Arial" w:cs="Arial" w:eastAsia="Arial" w:hAnsi="Arial"/>
                <w:b w:val="false"/>
                <w:bCs w:val="false"/>
                <w:sz w:val="21"/>
                <w:szCs w:val="21"/>
                <w:rtl/>
              </w:rPr>
              <w:t xml:space="preserve">5</w:t>
            </w:r>
          </w:p>
        </w:tc>
        <w:tc>
          <w:tcPr>
            <w:tcW w:type="dxa" w:w="5338"/>
            <w:tcBorders>
              <w:top w:val="single" w:color="C9C2BC" w:sz="4"/>
              <w:left w:val="single" w:color="C9C2BC" w:sz="4"/>
              <w:bottom w:val="single" w:color="C9C2BC" w:sz="4"/>
              <w:right w:val="single" w:color="C9C2BC" w:sz="4"/>
            </w:tcBorders>
            <w:tcMar>
              <w:top w:type="dxa" w:w="80"/>
              <w:left w:type="dxa" w:w="120"/>
              <w:bottom w:type="dxa" w:w="80"/>
              <w:right w:type="dxa" w:w="120"/>
            </w:tcMar>
            <w:vAlign w:val="center"/>
          </w:tcPr>
          <w:p>
            <w:pPr>
              <w:keepNext/>
              <w:bidi/>
              <w:spacing w:after="0"/>
            </w:pPr>
            <w:r>
              <w:rPr>
                <w:rFonts w:ascii="Arial" w:cs="Arial" w:eastAsia="Arial" w:hAnsi="Arial"/>
                <w:b w:val="false"/>
                <w:bCs w:val="false"/>
                <w:sz w:val="21"/>
                <w:szCs w:val="21"/>
                <w:rtl/>
              </w:rPr>
              <w:t xml:space="preserve">בקבלת החלטת הוועדה</w:t>
            </w:r>
          </w:p>
        </w:tc>
        <w:tc>
          <w:tcPr>
            <w:tcW w:type="dxa" w:w="1300"/>
            <w:tcBorders>
              <w:top w:val="single" w:color="C9C2BC" w:sz="4"/>
              <w:left w:val="single" w:color="C9C2BC" w:sz="4"/>
              <w:bottom w:val="single" w:color="C9C2BC" w:sz="4"/>
              <w:right w:val="single" w:color="C9C2BC" w:sz="4"/>
            </w:tcBorders>
            <w:tcMar>
              <w:top w:type="dxa" w:w="80"/>
              <w:left w:type="dxa" w:w="120"/>
              <w:bottom w:type="dxa" w:w="80"/>
              <w:right w:type="dxa" w:w="120"/>
            </w:tcMar>
            <w:vAlign w:val="center"/>
          </w:tcPr>
          <w:p>
            <w:pPr>
              <w:keepNext/>
              <w:bidi/>
              <w:spacing w:after="0"/>
            </w:pPr>
            <w:r>
              <w:rPr>
                <w:rFonts w:ascii="Arial" w:cs="Arial" w:eastAsia="Arial" w:hAnsi="Arial"/>
                <w:b w:val="false"/>
                <w:bCs w:val="false"/>
                <w:sz w:val="21"/>
                <w:szCs w:val="21"/>
                <w:rtl/>
              </w:rPr>
              <w:t xml:space="preserve">10%</w:t>
            </w:r>
          </w:p>
        </w:tc>
        <w:tc>
          <w:tcPr>
            <w:tcW w:type="dxa" w:w="2300"/>
            <w:tcBorders>
              <w:top w:val="single" w:color="C9C2BC" w:sz="4"/>
              <w:left w:val="single" w:color="C9C2BC" w:sz="4"/>
              <w:bottom w:val="single" w:color="C9C2BC" w:sz="4"/>
              <w:right w:val="single" w:color="C9C2BC" w:sz="4"/>
            </w:tcBorders>
            <w:tcMar>
              <w:top w:type="dxa" w:w="80"/>
              <w:left w:type="dxa" w:w="120"/>
              <w:bottom w:type="dxa" w:w="80"/>
              <w:right w:type="dxa" w:w="120"/>
            </w:tcMar>
            <w:vAlign w:val="center"/>
          </w:tcPr>
          <w:p>
            <w:pPr>
              <w:keepNext/>
              <w:bidi/>
              <w:spacing w:after="0"/>
            </w:pPr>
            <w:r>
              <w:rPr>
                <w:rFonts w:ascii="Arial" w:cs="Arial" w:eastAsia="Arial" w:hAnsi="Arial"/>
                <w:b w:val="false"/>
                <w:bCs w:val="false"/>
                <w:sz w:val="21"/>
                <w:szCs w:val="21"/>
                <w:rtl/>
              </w:rPr>
              <w:t xml:space="preserve">2,000</w:t>
            </w:r>
          </w:p>
        </w:tc>
      </w:tr>
      <w:tr>
        <w:trPr>
          <w:cantSplit/>
          <w:tblHeader w:val="false"/>
        </w:trPr>
        <w:tc>
          <w:tcPr>
            <w:tcW w:type="dxa" w:w="700"/>
            <w:tcBorders>
              <w:top w:val="single" w:color="C9C2BC" w:sz="4"/>
              <w:left w:val="single" w:color="C9C2BC" w:sz="4"/>
              <w:bottom w:val="single" w:color="C9C2BC" w:sz="4"/>
              <w:right w:val="single" w:color="C9C2BC" w:sz="4"/>
            </w:tcBorders>
            <w:tcMar>
              <w:top w:type="dxa" w:w="80"/>
              <w:left w:type="dxa" w:w="120"/>
              <w:bottom w:type="dxa" w:w="80"/>
              <w:right w:type="dxa" w:w="120"/>
            </w:tcMar>
            <w:vAlign w:val="center"/>
          </w:tcPr>
          <w:p>
            <w:pPr>
              <w:keepNext/>
              <w:bidi/>
              <w:spacing w:after="0"/>
              <w:jc w:val="center"/>
            </w:pPr>
            <w:r>
              <w:rPr>
                <w:rFonts w:ascii="Arial" w:cs="Arial" w:eastAsia="Arial" w:hAnsi="Arial"/>
                <w:b w:val="false"/>
                <w:bCs w:val="false"/>
                <w:sz w:val="21"/>
                <w:szCs w:val="21"/>
                <w:rtl/>
              </w:rPr>
              <w:t xml:space="preserve">6</w:t>
            </w:r>
          </w:p>
        </w:tc>
        <w:tc>
          <w:tcPr>
            <w:tcW w:type="dxa" w:w="5338"/>
            <w:tcBorders>
              <w:top w:val="single" w:color="C9C2BC" w:sz="4"/>
              <w:left w:val="single" w:color="C9C2BC" w:sz="4"/>
              <w:bottom w:val="single" w:color="C9C2BC" w:sz="4"/>
              <w:right w:val="single" w:color="C9C2BC" w:sz="4"/>
            </w:tcBorders>
            <w:tcMar>
              <w:top w:type="dxa" w:w="80"/>
              <w:left w:type="dxa" w:w="120"/>
              <w:bottom w:type="dxa" w:w="80"/>
              <w:right w:type="dxa" w:w="120"/>
            </w:tcMar>
            <w:vAlign w:val="center"/>
          </w:tcPr>
          <w:p>
            <w:pPr>
              <w:keepNext/>
              <w:bidi/>
              <w:spacing w:after="0"/>
            </w:pPr>
            <w:r>
              <w:rPr>
                <w:rFonts w:ascii="Arial" w:cs="Arial" w:eastAsia="Arial" w:hAnsi="Arial"/>
                <w:b w:val="false"/>
                <w:bCs w:val="false"/>
                <w:sz w:val="21"/>
                <w:szCs w:val="21"/>
                <w:rtl/>
              </w:rPr>
              <w:t xml:space="preserve">בהשלמת דרישות בקרת התכן וקבלת האגרות להיתר</w:t>
            </w:r>
          </w:p>
        </w:tc>
        <w:tc>
          <w:tcPr>
            <w:tcW w:type="dxa" w:w="1300"/>
            <w:tcBorders>
              <w:top w:val="single" w:color="C9C2BC" w:sz="4"/>
              <w:left w:val="single" w:color="C9C2BC" w:sz="4"/>
              <w:bottom w:val="single" w:color="C9C2BC" w:sz="4"/>
              <w:right w:val="single" w:color="C9C2BC" w:sz="4"/>
            </w:tcBorders>
            <w:tcMar>
              <w:top w:type="dxa" w:w="80"/>
              <w:left w:type="dxa" w:w="120"/>
              <w:bottom w:type="dxa" w:w="80"/>
              <w:right w:type="dxa" w:w="120"/>
            </w:tcMar>
            <w:vAlign w:val="center"/>
          </w:tcPr>
          <w:p>
            <w:pPr>
              <w:keepNext/>
              <w:bidi/>
              <w:spacing w:after="0"/>
            </w:pPr>
            <w:r>
              <w:rPr>
                <w:rFonts w:ascii="Arial" w:cs="Arial" w:eastAsia="Arial" w:hAnsi="Arial"/>
                <w:b w:val="false"/>
                <w:bCs w:val="false"/>
                <w:sz w:val="21"/>
                <w:szCs w:val="21"/>
                <w:rtl/>
              </w:rPr>
              <w:t xml:space="preserve">10%</w:t>
            </w:r>
          </w:p>
        </w:tc>
        <w:tc>
          <w:tcPr>
            <w:tcW w:type="dxa" w:w="2300"/>
            <w:tcBorders>
              <w:top w:val="single" w:color="C9C2BC" w:sz="4"/>
              <w:left w:val="single" w:color="C9C2BC" w:sz="4"/>
              <w:bottom w:val="single" w:color="C9C2BC" w:sz="4"/>
              <w:right w:val="single" w:color="C9C2BC" w:sz="4"/>
            </w:tcBorders>
            <w:tcMar>
              <w:top w:type="dxa" w:w="80"/>
              <w:left w:type="dxa" w:w="120"/>
              <w:bottom w:type="dxa" w:w="80"/>
              <w:right w:type="dxa" w:w="120"/>
            </w:tcMar>
            <w:vAlign w:val="center"/>
          </w:tcPr>
          <w:p>
            <w:pPr>
              <w:keepNext/>
              <w:bidi/>
              <w:spacing w:after="0"/>
            </w:pPr>
            <w:r>
              <w:rPr>
                <w:rFonts w:ascii="Arial" w:cs="Arial" w:eastAsia="Arial" w:hAnsi="Arial"/>
                <w:b w:val="false"/>
                <w:bCs w:val="false"/>
                <w:sz w:val="21"/>
                <w:szCs w:val="21"/>
                <w:rtl/>
              </w:rPr>
              <w:t xml:space="preserve">2,000</w:t>
            </w:r>
          </w:p>
        </w:tc>
      </w:tr>
      <w:tr>
        <w:trPr>
          <w:cantSplit/>
          <w:tblHeader w:val="false"/>
        </w:trPr>
        <w:tc>
          <w:tcPr>
            <w:tcW w:type="dxa" w:w="700"/>
            <w:tcBorders>
              <w:top w:val="single" w:color="C9C2BC" w:sz="4"/>
              <w:left w:val="single" w:color="C9C2BC" w:sz="4"/>
              <w:bottom w:val="single" w:color="C9C2BC" w:sz="4"/>
              <w:right w:val="single" w:color="C9C2BC" w:sz="4"/>
            </w:tcBorders>
            <w:shd w:fill="F3F0ED" w:color="auto" w:val="clear"/>
            <w:tcMar>
              <w:top w:type="dxa" w:w="80"/>
              <w:left w:type="dxa" w:w="120"/>
              <w:bottom w:type="dxa" w:w="80"/>
              <w:right w:type="dxa" w:w="120"/>
            </w:tcMar>
            <w:vAlign w:val="center"/>
          </w:tcPr>
          <w:p>
            <w:pPr>
              <w:keepNext w:val="false"/>
              <w:bidi/>
              <w:spacing w:after="0"/>
              <w:jc w:val="center"/>
            </w:pPr>
          </w:p>
        </w:tc>
        <w:tc>
          <w:tcPr>
            <w:tcW w:type="dxa" w:w="5338"/>
            <w:tcBorders>
              <w:top w:val="single" w:color="C9C2BC" w:sz="4"/>
              <w:left w:val="single" w:color="C9C2BC" w:sz="4"/>
              <w:bottom w:val="single" w:color="C9C2BC" w:sz="4"/>
              <w:right w:val="single" w:color="C9C2BC" w:sz="4"/>
            </w:tcBorders>
            <w:shd w:fill="F3F0ED" w:color="auto" w:val="clear"/>
            <w:tcMar>
              <w:top w:type="dxa" w:w="80"/>
              <w:left w:type="dxa" w:w="120"/>
              <w:bottom w:type="dxa" w:w="80"/>
              <w:right w:type="dxa" w:w="120"/>
            </w:tcMar>
            <w:vAlign w:val="center"/>
          </w:tcPr>
          <w:p>
            <w:pPr>
              <w:keepNext w:val="false"/>
              <w:bidi/>
              <w:spacing w:after="0"/>
            </w:pPr>
            <w:r>
              <w:rPr>
                <w:rFonts w:ascii="Arial" w:cs="Arial" w:eastAsia="Arial" w:hAnsi="Arial"/>
                <w:b/>
                <w:bCs/>
                <w:sz w:val="21"/>
                <w:szCs w:val="21"/>
                <w:rtl/>
              </w:rPr>
              <w:t xml:space="preserve">סה"כ</w:t>
            </w:r>
          </w:p>
        </w:tc>
        <w:tc>
          <w:tcPr>
            <w:tcW w:type="dxa" w:w="1300"/>
            <w:tcBorders>
              <w:top w:val="single" w:color="C9C2BC" w:sz="4"/>
              <w:left w:val="single" w:color="C9C2BC" w:sz="4"/>
              <w:bottom w:val="single" w:color="C9C2BC" w:sz="4"/>
              <w:right w:val="single" w:color="C9C2BC" w:sz="4"/>
            </w:tcBorders>
            <w:shd w:fill="F3F0ED" w:color="auto" w:val="clear"/>
            <w:tcMar>
              <w:top w:type="dxa" w:w="80"/>
              <w:left w:type="dxa" w:w="120"/>
              <w:bottom w:type="dxa" w:w="80"/>
              <w:right w:type="dxa" w:w="120"/>
            </w:tcMar>
            <w:vAlign w:val="center"/>
          </w:tcPr>
          <w:p>
            <w:pPr>
              <w:keepNext w:val="false"/>
              <w:bidi/>
              <w:spacing w:after="0"/>
            </w:pPr>
            <w:r>
              <w:rPr>
                <w:rFonts w:ascii="Arial" w:cs="Arial" w:eastAsia="Arial" w:hAnsi="Arial"/>
                <w:b/>
                <w:bCs/>
                <w:sz w:val="21"/>
                <w:szCs w:val="21"/>
                <w:rtl/>
              </w:rPr>
              <w:t xml:space="preserve">100%</w:t>
            </w:r>
          </w:p>
        </w:tc>
        <w:tc>
          <w:tcPr>
            <w:tcW w:type="dxa" w:w="2300"/>
            <w:tcBorders>
              <w:top w:val="single" w:color="C9C2BC" w:sz="4"/>
              <w:left w:val="single" w:color="C9C2BC" w:sz="4"/>
              <w:bottom w:val="single" w:color="C9C2BC" w:sz="4"/>
              <w:right w:val="single" w:color="C9C2BC" w:sz="4"/>
            </w:tcBorders>
            <w:shd w:fill="F3F0ED" w:color="auto" w:val="clear"/>
            <w:tcMar>
              <w:top w:type="dxa" w:w="80"/>
              <w:left w:type="dxa" w:w="120"/>
              <w:bottom w:type="dxa" w:w="80"/>
              <w:right w:type="dxa" w:w="120"/>
            </w:tcMar>
            <w:vAlign w:val="center"/>
          </w:tcPr>
          <w:p>
            <w:pPr>
              <w:keepNext w:val="false"/>
              <w:bidi/>
              <w:spacing w:after="0"/>
            </w:pPr>
            <w:r>
              <w:rPr>
                <w:rFonts w:ascii="Arial" w:cs="Arial" w:eastAsia="Arial" w:hAnsi="Arial"/>
                <w:b/>
                <w:bCs/>
                <w:sz w:val="21"/>
                <w:szCs w:val="21"/>
                <w:rtl/>
              </w:rPr>
              <w:t xml:space="preserve">20,000 ₪</w:t>
            </w:r>
          </w:p>
        </w:tc>
      </w:tr>
    </w:tbl>
    <w:p>
      <w:pPr>
        <w:bidi/>
        <w:spacing w:after="100" w:before="160"/>
      </w:pPr>
      <w:r>
        <w:rPr>
          <w:rFonts w:ascii="Arial" w:cs="Arial" w:eastAsia="Arial" w:hAnsi="Arial"/>
          <w:sz w:val="22"/>
          <w:szCs w:val="22"/>
          <w:rtl/>
        </w:rPr>
        <w:t xml:space="preserve">התשלום יבוצע ע"י המזמין תוך 3 ימי עסקים ממועד דרישת התשלום.</w:t>
      </w:r>
    </w:p>
    <w:p>
      <w:pPr>
        <w:bidi/>
        <w:spacing w:after="80"/>
      </w:pPr>
      <w:r>
        <w:rPr>
          <w:rFonts w:ascii="Arial" w:cs="Arial" w:eastAsia="Arial" w:hAnsi="Arial"/>
          <w:i/>
          <w:iCs/>
          <w:color w:val="8C8C8C"/>
          <w:sz w:val="20"/>
          <w:szCs w:val="20"/>
          <w:rtl/>
        </w:rPr>
        <w:t xml:space="preserve">* גמר התשלום לא יידחה באם המזמין החליט שלא למלא אחר דרישות הוועדה (תשלום אגרה / היטל כלשהו), או באם המזמין לא ידרוש בפועל את היתר הבנייה מרשות הרישוי וכו'.</w:t>
      </w:r>
    </w:p>
    <w:p>
      <w:pPr>
        <w:keepNext/>
        <w:bidi/>
        <w:spacing w:after="0" w:before="280"/>
      </w:pPr>
      <w:r>
        <w:rPr>
          <w:rFonts w:ascii="Arial" w:cs="Arial" w:eastAsia="Arial" w:hAnsi="Arial"/>
          <w:b/>
          <w:bCs/>
          <w:sz w:val="22"/>
          <w:szCs w:val="22"/>
          <w:rtl/>
        </w:rPr>
        <w:t xml:space="preserve">ובזאת באו הצדדים על החתום:</w:t>
      </w:r>
    </w:p>
    <w:tbl>
      <w:tblPr>
        <w:bidiVisual/>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212"/>
        <w:gridCol w:w="3213"/>
        <w:gridCol w:w="3213"/>
      </w:tblGrid>
      <w:tr>
        <w:trPr>
          <w:cantSplit/>
        </w:trPr>
        <w:tc>
          <w:tcPr>
            <w:tcW w:type="dxa" w:w="3212"/>
            <w:tcBorders>
              <w:top w:val="none" w:color="FFFFFF" w:sz="0"/>
              <w:left w:val="none" w:color="FFFFFF" w:sz="0"/>
              <w:bottom w:val="none" w:color="FFFFFF" w:sz="0"/>
              <w:right w:val="none" w:color="FFFFFF" w:sz="0"/>
            </w:tcBorders>
          </w:tcPr>
          <w:p>
            <w:pPr>
              <w:bidi/>
              <w:spacing w:after="40" w:before="440"/>
              <w:jc w:val="center"/>
            </w:pPr>
            <w:r>
              <w:rPr>
                <w:rFonts w:ascii="Arial" w:cs="Arial" w:eastAsia="Arial" w:hAnsi="Arial"/>
                <w:color w:val="8C8C8C"/>
                <w:sz w:val="22"/>
                <w:szCs w:val="22"/>
                <w:rtl/>
              </w:rPr>
              <w:t xml:space="preserve">_____________________</w:t>
            </w:r>
          </w:p>
          <w:p>
            <w:pPr>
              <w:bidi/>
              <w:spacing w:after="100" w:line="300"/>
              <w:jc w:val="center"/>
            </w:pPr>
            <w:r>
              <w:rPr>
                <w:rFonts w:ascii="Arial" w:cs="Arial" w:eastAsia="Arial" w:hAnsi="Arial"/>
                <w:sz w:val="20"/>
                <w:szCs w:val="20"/>
                <w:rtl/>
              </w:rPr>
              <w:t xml:space="preserve">חתימת המזמין/ים</w:t>
            </w:r>
          </w:p>
        </w:tc>
        <w:tc>
          <w:tcPr>
            <w:tcW w:type="dxa" w:w="3212"/>
            <w:tcBorders>
              <w:top w:val="none" w:color="FFFFFF" w:sz="0"/>
              <w:left w:val="none" w:color="FFFFFF" w:sz="0"/>
              <w:bottom w:val="none" w:color="FFFFFF" w:sz="0"/>
              <w:right w:val="none" w:color="FFFFFF" w:sz="0"/>
            </w:tcBorders>
          </w:tcPr>
          <w:p>
            <w:pPr>
              <w:bidi/>
              <w:spacing w:after="40" w:before="440"/>
              <w:jc w:val="center"/>
            </w:pPr>
            <w:r>
              <w:rPr>
                <w:rFonts w:ascii="Arial" w:cs="Arial" w:eastAsia="Arial" w:hAnsi="Arial"/>
                <w:color w:val="8C8C8C"/>
                <w:sz w:val="22"/>
                <w:szCs w:val="22"/>
                <w:rtl/>
              </w:rPr>
              <w:t xml:space="preserve">_____________________</w:t>
            </w:r>
          </w:p>
          <w:p>
            <w:pPr>
              <w:bidi/>
              <w:spacing w:after="100" w:line="300"/>
              <w:jc w:val="center"/>
            </w:pPr>
            <w:r>
              <w:rPr>
                <w:rFonts w:ascii="Arial" w:cs="Arial" w:eastAsia="Arial" w:hAnsi="Arial"/>
                <w:sz w:val="20"/>
                <w:szCs w:val="20"/>
                <w:rtl/>
              </w:rPr>
              <w:t xml:space="preserve">תאריך</w:t>
            </w:r>
          </w:p>
        </w:tc>
        <w:tc>
          <w:tcPr>
            <w:tcW w:type="dxa" w:w="3212"/>
            <w:tcBorders>
              <w:top w:val="none" w:color="FFFFFF" w:sz="0"/>
              <w:left w:val="none" w:color="FFFFFF" w:sz="0"/>
              <w:bottom w:val="none" w:color="FFFFFF" w:sz="0"/>
              <w:right w:val="none" w:color="FFFFFF" w:sz="0"/>
            </w:tcBorders>
          </w:tcPr>
          <w:p>
            <w:pPr>
              <w:bidi/>
              <w:spacing w:after="40" w:before="440"/>
              <w:jc w:val="center"/>
            </w:pPr>
            <w:r>
              <w:rPr>
                <w:rFonts w:ascii="Arial" w:cs="Arial" w:eastAsia="Arial" w:hAnsi="Arial"/>
                <w:color w:val="8C8C8C"/>
                <w:sz w:val="22"/>
                <w:szCs w:val="22"/>
                <w:rtl/>
              </w:rPr>
              <w:t xml:space="preserve">_____________________</w:t>
            </w:r>
          </w:p>
          <w:p>
            <w:pPr>
              <w:bidi/>
              <w:spacing w:after="100" w:line="300"/>
              <w:jc w:val="center"/>
            </w:pPr>
            <w:r>
              <w:rPr>
                <w:rFonts w:ascii="Arial" w:cs="Arial" w:eastAsia="Arial" w:hAnsi="Arial"/>
                <w:sz w:val="20"/>
                <w:szCs w:val="20"/>
                <w:rtl/>
              </w:rPr>
              <w:t xml:space="preserve">חתימת המתכננת</w:t>
            </w:r>
          </w:p>
        </w:tc>
      </w:tr>
    </w:tbl>
    <w:p>
      <w:pPr>
        <w:keepNext/>
        <w:bidi/>
        <w:spacing w:after="60" w:before="240"/>
      </w:pPr>
      <w:r>
        <w:rPr>
          <w:rFonts w:ascii="Arial" w:cs="Arial" w:eastAsia="Arial" w:hAnsi="Arial"/>
          <w:sz w:val="22"/>
          <w:szCs w:val="22"/>
          <w:rtl/>
        </w:rPr>
        <w:t xml:space="preserve">אשמח לעמוד לרשותכם בכל שאלה.</w:t>
      </w:r>
    </w:p>
    <w:p>
      <w:pPr>
        <w:keepNext/>
        <w:bidi/>
        <w:spacing w:after="40"/>
      </w:pPr>
      <w:r>
        <w:rPr>
          <w:rFonts w:ascii="Arial" w:cs="Arial" w:eastAsia="Arial" w:hAnsi="Arial"/>
          <w:sz w:val="22"/>
          <w:szCs w:val="22"/>
          <w:rtl/>
        </w:rPr>
        <w:t xml:space="preserve">בברכה,</w:t>
      </w:r>
    </w:p>
    <w:p>
      <w:pPr>
        <w:bidi/>
        <w:spacing w:after="100" w:line="300"/>
      </w:pPr>
      <w:r>
        <w:rPr>
          <w:rFonts w:ascii="Arial" w:cs="Arial" w:eastAsia="Arial" w:hAnsi="Arial"/>
          <w:b/>
          <w:bCs/>
          <w:color w:val="6E625A"/>
          <w:sz w:val="22"/>
          <w:szCs w:val="22"/>
          <w:rtl/>
        </w:rPr>
        <w:t xml:space="preserve">Orit Lev Architect</w:t>
      </w:r>
    </w:p>
    <w:sectPr>
      <w:headerReference w:type="default" r:id="rId7"/>
      <w:footerReference w:type="default" r:id="rId8"/>
      <w:pgSz w:w="11906" w:h="16838" w:orient="portrait"/>
      <w:pgMar w:top="1500" w:right="1134" w:bottom="1300" w:left="1134" w:header="500" w:footer="45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C2BC" w:sz="4" w:space="6"/>
      </w:pBdr>
      <w:jc w:val="center"/>
    </w:pPr>
    <w:r>
      <w:rPr>
        <w:rFonts w:ascii="Arial" w:cs="Arial" w:eastAsia="Arial" w:hAnsi="Arial"/>
        <w:color w:val="8C8C8C"/>
        <w:sz w:val="16"/>
        <w:szCs w:val="16"/>
      </w:rPr>
      <w:t xml:space="preserve">Orit Lev Architect  |  Tel: 03.5100885 / 054.397.2392  |  oritlev.arch@gmail.com</w:t>
    </w:r>
  </w:p>
  <w:p>
    <w:pPr>
      <w:bidi/>
      <w:jc w:val="center"/>
    </w:pPr>
    <w:r>
      <w:rPr>
        <w:rFonts w:ascii="Arial" w:cs="Arial" w:eastAsia="Arial" w:hAnsi="Arial"/>
        <w:color w:val="8C8C8C"/>
        <w:sz w:val="16"/>
        <w:szCs w:val="16"/>
        <w:rtl/>
      </w:rPr>
      <w:t xml:space="preserve">עמוד </w:t>
    </w:r>
    <w:r>
      <w:rPr>
        <w:rFonts w:ascii="Arial" w:cs="Arial" w:eastAsia="Arial" w:hAnsi="Arial"/>
        <w:color w:val="8C8C8C"/>
        <w:sz w:val="16"/>
        <w:szCs w:val="16"/>
      </w:rPr>
      <w:fldChar w:fldCharType="begin"/>
      <w:instrText xml:space="preserve">PAGE</w:instrText>
      <w:fldChar w:fldCharType="separate"/>
      <w:fldChar w:fldCharType="end"/>
    </w:r>
    <w:r>
      <w:rPr>
        <w:rFonts w:ascii="Arial" w:cs="Arial" w:eastAsia="Arial" w:hAnsi="Arial"/>
        <w:color w:val="8C8C8C"/>
        <w:sz w:val="16"/>
        <w:szCs w:val="16"/>
        <w:rtl/>
      </w:rPr>
      <w:t xml:space="preserve"> מתוך </w:t>
    </w:r>
    <w:r>
      <w:rPr>
        <w:rFonts w:ascii="Arial" w:cs="Arial" w:eastAsia="Arial" w:hAnsi="Arial"/>
        <w:color w:val="8C8C8C"/>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bidiVisual/>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8438"/>
      <w:gridCol w:w="1200"/>
    </w:tblGrid>
    <w:tr>
      <w:tc>
        <w:tcPr>
          <w:tcW w:type="dxa" w:w="8438"/>
          <w:tcBorders>
            <w:top w:val="none" w:color="FFFFFF" w:sz="0"/>
            <w:left w:val="none" w:color="FFFFFF" w:sz="0"/>
            <w:bottom w:val="none" w:color="FFFFFF" w:sz="0"/>
            <w:right w:val="none" w:color="FFFFFF" w:sz="0"/>
          </w:tcBorders>
          <w:vAlign w:val="bottom"/>
        </w:tcPr>
        <w:p>
          <w:pPr>
            <w:bidi/>
          </w:pPr>
          <w:r>
            <w:rPr>
              <w:rFonts w:ascii="Arial" w:cs="Arial" w:eastAsia="Arial" w:hAnsi="Arial"/>
              <w:color w:val="6E625A"/>
              <w:spacing w:val="30"/>
              <w:sz w:val="20"/>
              <w:szCs w:val="20"/>
            </w:rPr>
            <w:t xml:space="preserve">Orit Lev Architect</w:t>
          </w:r>
        </w:p>
      </w:tc>
      <w:tc>
        <w:tcPr>
          <w:tcW w:type="dxa" w:w="1200"/>
          <w:tcBorders>
            <w:top w:val="none" w:color="FFFFFF" w:sz="0"/>
            <w:left w:val="none" w:color="FFFFFF" w:sz="0"/>
            <w:bottom w:val="none" w:color="FFFFFF" w:sz="0"/>
            <w:right w:val="none" w:color="FFFFFF" w:sz="0"/>
          </w:tcBorders>
        </w:tcPr>
        <w:p>
          <w:pPr>
            <w:jc w:val="left"/>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38150" cy="438150"/>
                        </a:xfrm>
                        <a:prstGeom prst="rect">
                          <a:avLst/>
                        </a:prstGeom>
                      </pic:spPr>
                    </pic:pic>
                  </a:graphicData>
                </a:graphic>
              </wp:inline>
            </w:drawing>
          </w:r>
        </w:p>
      </w:tc>
    </w:tr>
  </w:tbl>
  <w:p>
    <w:pPr>
      <w:pBdr>
        <w:bottom w:val="single" w:color="C9C2BC" w:sz="4" w:space="1"/>
      </w:pBd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start="540" w:hanging="360"/>
      </w:pPr>
      <w:rPr>
        <w:color w:val="6E625A"/>
      </w:rPr>
    </w:lvl>
    <w:lvl w:ilvl="1" w15:tentative="1">
      <w:start w:val="1"/>
      <w:numFmt w:val="bullet"/>
      <w:lvlText w:val="◦"/>
      <w:lvlJc w:val="start"/>
      <w:pPr>
        <w:ind w:start="1080" w:hanging="360"/>
      </w:pPr>
      <w:rPr>
        <w:color w:val="6E625A"/>
      </w:rPr>
    </w:lvl>
  </w:abstractNum>
  <w:abstractNum w:abstractNumId="3" w15:restartNumberingAfterBreak="0">
    <w:multiLevelType w:val="hybridMultilevel"/>
    <w:lvl w:ilvl="0" w15:tentative="1">
      <w:start w:val="1"/>
      <w:numFmt w:val="decimal"/>
      <w:lvlText w:val="%1."/>
      <w:lvlJc w:val="start"/>
      <w:pPr>
        <w:ind w:start="540" w:hanging="360"/>
      </w:pPr>
      <w:rPr>
        <w:color w:val="6E625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14a3b3d46b0338d23279ddb5b68b204738e544f.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Orit Lev Architect</dc:creator>
  <cp:lastModifiedBy>Un-named</cp:lastModifiedBy>
  <cp:revision>1</cp:revision>
  <dcterms:created xsi:type="dcterms:W3CDTF">2026-11-01T18:37:33.230Z</dcterms:created>
  <dcterms:modified xsi:type="dcterms:W3CDTF">2026-11-01T18:37:33.231Z</dcterms:modified>
</cp:coreProperties>
</file>

<file path=docProps/custom.xml><?xml version="1.0" encoding="utf-8"?>
<Properties xmlns="http://schemas.openxmlformats.org/officeDocument/2006/custom-properties" xmlns:vt="http://schemas.openxmlformats.org/officeDocument/2006/docPropsVTypes"/>
</file>