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DC, use natbib options</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Default="002B67E4"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363256D7" w:rsidR="004F304E" w:rsidRDefault="006F576D" w:rsidP="004F304E">
      <w:pPr>
        <w:shd w:val="clear" w:color="auto" w:fill="FFFFFF"/>
        <w:spacing w:after="100"/>
        <w:rPr>
          <w:rFonts w:ascii="Arial" w:hAnsi="Arial" w:cs="Arial"/>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F1412F">
        <w:rPr>
          <w:rFonts w:ascii="Arial" w:hAnsi="Arial" w:cs="Arial"/>
          <w:color w:val="FF0000"/>
        </w:rPr>
        <w:t>TODO</w:t>
      </w:r>
      <w:r w:rsidR="004F304E">
        <w:rPr>
          <w:rFonts w:ascii="Arial" w:hAnsi="Arial" w:cs="Arial"/>
          <w:color w:val="FF0000"/>
        </w:rPr>
        <w:t>: DC, add to line 137: “</w:t>
      </w:r>
      <w:r w:rsidR="004F304E" w:rsidRPr="004F304E">
        <w:rPr>
          <w:rFonts w:ascii="Arial" w:hAnsi="Arial" w:cs="Arial"/>
          <w:color w:val="222222"/>
        </w:rPr>
        <w:t>that “stable polymorphism” is sometimes called “coexistence” and “unstable polymorphism” is “bistable competition</w:t>
      </w:r>
      <w:r w:rsidR="004F304E">
        <w:rPr>
          <w:rFonts w:ascii="Arial" w:hAnsi="Arial" w:cs="Arial"/>
          <w:color w:val="222222"/>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78ED0256" w:rsidR="004F304E" w:rsidRPr="00F1412F" w:rsidRDefault="004F304E" w:rsidP="00025C98">
      <w:pPr>
        <w:shd w:val="clear" w:color="auto" w:fill="FFFFFF"/>
        <w:spacing w:after="100"/>
        <w:rPr>
          <w:rFonts w:ascii="Arial" w:hAnsi="Arial" w:cs="Arial"/>
          <w:color w:val="222222"/>
        </w:rPr>
      </w:pPr>
      <w:r>
        <w:rPr>
          <w:rFonts w:ascii="Arial" w:hAnsi="Arial" w:cs="Arial"/>
          <w:color w:val="FF0000"/>
        </w:rPr>
        <w:t>TODO: DC, change “unite” to “merge”. Add remark here that we mean that if we merge these conditions, we get eq 12.</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Default="00025C98" w:rsidP="00025C98">
      <w:pPr>
        <w:shd w:val="clear" w:color="auto" w:fill="FFFFFF"/>
        <w:spacing w:after="100"/>
        <w:rPr>
          <w:rFonts w:ascii="Arial" w:hAnsi="Arial" w:cs="Arial"/>
          <w:color w:val="FF0000"/>
        </w:rPr>
      </w:pPr>
      <w:r>
        <w:rPr>
          <w:rFonts w:ascii="Arial" w:hAnsi="Arial" w:cs="Arial"/>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Default="00025C98" w:rsidP="006F576D">
      <w:pPr>
        <w:shd w:val="clear" w:color="auto" w:fill="FFFFFF"/>
        <w:spacing w:after="100"/>
        <w:rPr>
          <w:rFonts w:ascii="Arial" w:hAnsi="Arial" w:cs="Arial"/>
          <w:color w:val="FF0000"/>
        </w:rPr>
      </w:pPr>
      <w:r>
        <w:rPr>
          <w:rFonts w:ascii="Arial" w:hAnsi="Arial" w:cs="Arial"/>
          <w:color w:val="FF0000"/>
        </w:rPr>
        <w:t xml:space="preserve">TODO: </w:t>
      </w:r>
      <w:r w:rsidR="002C683A">
        <w:rPr>
          <w:rFonts w:ascii="Arial" w:hAnsi="Arial" w:cs="Arial"/>
          <w:color w:val="FF0000"/>
        </w:rPr>
        <w:t>DC</w:t>
      </w:r>
      <w:r>
        <w:rPr>
          <w:rFonts w:ascii="Arial" w:hAnsi="Arial" w:cs="Arial"/>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7777777" w:rsidR="00475AC3" w:rsidRDefault="00475AC3" w:rsidP="006F576D">
      <w:pPr>
        <w:shd w:val="clear" w:color="auto" w:fill="FFFFFF"/>
        <w:spacing w:after="100"/>
        <w:rPr>
          <w:rFonts w:ascii="Arial" w:hAnsi="Arial" w:cs="Arial"/>
          <w:color w:val="222222"/>
        </w:rPr>
      </w:pPr>
      <w:r w:rsidRPr="00475AC3">
        <w:rPr>
          <w:rFonts w:ascii="Arial" w:hAnsi="Arial" w:cs="Arial"/>
          <w:color w:val="FF0000"/>
        </w:rPr>
        <w:t>TODO: DC – write reply here.</w:t>
      </w:r>
      <w:r w:rsidR="006F576D" w:rsidRPr="006F576D">
        <w:rPr>
          <w:rFonts w:ascii="Arial" w:hAnsi="Arial" w:cs="Arial"/>
          <w:color w:val="222222"/>
        </w:rPr>
        <w:br/>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77777777" w:rsidR="00475AC3" w:rsidRPr="00475AC3" w:rsidRDefault="00475AC3" w:rsidP="006F576D">
      <w:pPr>
        <w:shd w:val="clear" w:color="auto" w:fill="FFFFFF"/>
        <w:spacing w:after="100"/>
        <w:rPr>
          <w:rFonts w:ascii="Arial" w:hAnsi="Arial" w:cs="Arial"/>
          <w:color w:val="FF0000"/>
        </w:rPr>
      </w:pPr>
      <w:r w:rsidRPr="00475AC3">
        <w:rPr>
          <w:rFonts w:ascii="Arial" w:hAnsi="Arial" w:cs="Arial"/>
          <w:color w:val="FF0000"/>
        </w:rPr>
        <w:t xml:space="preserve">TODO </w:t>
      </w:r>
      <w:r w:rsidR="00D43FC0" w:rsidRPr="00475AC3">
        <w:rPr>
          <w:rFonts w:ascii="Arial" w:hAnsi="Arial" w:cs="Arial"/>
          <w:color w:val="FF0000"/>
        </w:rPr>
        <w:t>DC</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 xml:space="preserve">-In the section on population structure, the model setup had me a bit confused. Half of </w:t>
      </w:r>
      <w:r w:rsidR="006F576D" w:rsidRPr="006F576D">
        <w:rPr>
          <w:rFonts w:ascii="Arial" w:hAnsi="Arial" w:cs="Arial"/>
          <w:color w:val="222222"/>
        </w:rPr>
        <w:lastRenderedPageBreak/>
        <w:t>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lastRenderedPageBreak/>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1249AF4C" w14:textId="77777777" w:rsidR="00D03583" w:rsidRDefault="00D25156" w:rsidP="006F576D">
      <w:pPr>
        <w:shd w:val="clear" w:color="auto" w:fill="FFFFFF"/>
        <w:spacing w:after="100"/>
        <w:rPr>
          <w:rFonts w:ascii="Arial" w:hAnsi="Arial" w:cs="Arial"/>
          <w:color w:val="FF0000"/>
        </w:rPr>
      </w:pPr>
      <w:r>
        <w:rPr>
          <w:rFonts w:ascii="Arial" w:hAnsi="Arial" w:cs="Arial"/>
          <w:color w:val="FF0000"/>
        </w:rPr>
        <w:t xml:space="preserve">DC: I think we discussed this already. </w:t>
      </w:r>
      <w:r w:rsidR="00D94785">
        <w:rPr>
          <w:rFonts w:ascii="Arial" w:hAnsi="Arial" w:cs="Arial"/>
          <w:color w:val="FF0000"/>
        </w:rPr>
        <w:t>We want to focus on cooperation scenario</w:t>
      </w:r>
      <w:r w:rsidR="003D4B4E">
        <w:rPr>
          <w:rFonts w:ascii="Arial" w:hAnsi="Arial" w:cs="Arial"/>
          <w:color w:val="FF0000"/>
        </w:rPr>
        <w:t>s</w:t>
      </w:r>
      <w:r w:rsidR="00D94785">
        <w:rPr>
          <w:rFonts w:ascii="Arial" w:hAnsi="Arial" w:cs="Arial"/>
          <w:color w:val="FF0000"/>
        </w:rPr>
        <w:t xml:space="preserve">, and general payoff matrix </w:t>
      </w:r>
      <w:r w:rsidR="003D4B4E">
        <w:rPr>
          <w:rFonts w:ascii="Arial" w:hAnsi="Arial" w:cs="Arial"/>
          <w:color w:val="FF0000"/>
        </w:rPr>
        <w:t>is not the right model for that.</w:t>
      </w:r>
    </w:p>
    <w:p w14:paraId="387A8D14" w14:textId="6ED4947B" w:rsidR="006F576D" w:rsidRPr="006F576D" w:rsidRDefault="00D03583" w:rsidP="006F576D">
      <w:pPr>
        <w:shd w:val="clear" w:color="auto" w:fill="FFFFFF"/>
        <w:spacing w:after="100"/>
        <w:rPr>
          <w:rFonts w:ascii="Arial" w:hAnsi="Arial" w:cs="Arial"/>
          <w:color w:val="222222"/>
        </w:rPr>
      </w:pPr>
      <w:r>
        <w:rPr>
          <w:rFonts w:ascii="Arial" w:hAnsi="Arial" w:cs="Arial"/>
          <w:color w:val="FF0000"/>
          <w:lang w:val="en-US"/>
        </w:rPr>
        <w:t>TODO: DC verify that this is correct, but something like “we focus on c&lt;b (donation game REF),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uni-parental (stated in line 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1A708E"/>
    <w:rsid w:val="002B5F1A"/>
    <w:rsid w:val="002B67E4"/>
    <w:rsid w:val="002C683A"/>
    <w:rsid w:val="002F4C22"/>
    <w:rsid w:val="003D4B4E"/>
    <w:rsid w:val="00475AC3"/>
    <w:rsid w:val="004F304E"/>
    <w:rsid w:val="004F3A73"/>
    <w:rsid w:val="00532A80"/>
    <w:rsid w:val="005765C0"/>
    <w:rsid w:val="006A518F"/>
    <w:rsid w:val="006F576D"/>
    <w:rsid w:val="00803000"/>
    <w:rsid w:val="00865079"/>
    <w:rsid w:val="009233CC"/>
    <w:rsid w:val="00AD037B"/>
    <w:rsid w:val="00B9117C"/>
    <w:rsid w:val="00D03583"/>
    <w:rsid w:val="00D12BD8"/>
    <w:rsid w:val="00D25156"/>
    <w:rsid w:val="00D43FC0"/>
    <w:rsid w:val="00D5793E"/>
    <w:rsid w:val="00D94785"/>
    <w:rsid w:val="00E32B40"/>
    <w:rsid w:val="00F1412F"/>
    <w:rsid w:val="00F274D2"/>
    <w:rsid w:val="00F62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89</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14</cp:revision>
  <dcterms:created xsi:type="dcterms:W3CDTF">2021-04-13T07:25:00Z</dcterms:created>
  <dcterms:modified xsi:type="dcterms:W3CDTF">2021-04-13T11:52:00Z</dcterms:modified>
</cp:coreProperties>
</file>