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63B8444C" w:rsidR="00130DAF" w:rsidRPr="00A3232B" w:rsidRDefault="00130DAF" w:rsidP="00455780">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9B3299">
        <w:rPr>
          <w:rFonts w:asciiTheme="majorBidi" w:hAnsiTheme="majorBidi" w:cstheme="majorBidi"/>
          <w:noProof/>
          <w:sz w:val="22"/>
          <w:szCs w:val="22"/>
        </w:rPr>
        <w:t>January 18, 2024</w:t>
      </w:r>
      <w:r w:rsidRPr="00A3232B">
        <w:rPr>
          <w:rFonts w:asciiTheme="majorBidi" w:hAnsiTheme="majorBidi" w:cstheme="majorBidi"/>
          <w:sz w:val="22"/>
          <w:szCs w:val="22"/>
        </w:rPr>
        <w:fldChar w:fldCharType="end"/>
      </w:r>
    </w:p>
    <w:p w14:paraId="43B77DC9" w14:textId="77777777" w:rsidR="00130DAF" w:rsidRPr="00A3232B" w:rsidRDefault="00130DAF" w:rsidP="00455780">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455780">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455780">
      <w:pPr>
        <w:spacing w:line="276" w:lineRule="auto"/>
        <w:jc w:val="both"/>
        <w:rPr>
          <w:rFonts w:asciiTheme="majorBidi" w:hAnsiTheme="majorBidi" w:cstheme="majorBidi"/>
          <w:sz w:val="22"/>
          <w:szCs w:val="22"/>
        </w:rPr>
      </w:pPr>
    </w:p>
    <w:p w14:paraId="05AEE5DD" w14:textId="77777777" w:rsidR="00130DAF" w:rsidRPr="00A3232B" w:rsidRDefault="00130DAF" w:rsidP="00455780">
      <w:pPr>
        <w:spacing w:line="276" w:lineRule="auto"/>
        <w:jc w:val="both"/>
        <w:rPr>
          <w:rFonts w:asciiTheme="majorBidi" w:hAnsiTheme="majorBidi" w:cstheme="majorBidi"/>
          <w:sz w:val="22"/>
          <w:szCs w:val="22"/>
        </w:rPr>
      </w:pPr>
    </w:p>
    <w:p w14:paraId="21B5151F" w14:textId="77777777" w:rsidR="00130DAF" w:rsidRPr="00A3232B" w:rsidRDefault="00130DAF" w:rsidP="00455780">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455780">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455780">
      <w:pPr>
        <w:spacing w:line="276" w:lineRule="auto"/>
        <w:jc w:val="both"/>
        <w:rPr>
          <w:rFonts w:asciiTheme="majorBidi" w:hAnsiTheme="majorBidi" w:cstheme="majorBidi"/>
          <w:sz w:val="22"/>
          <w:szCs w:val="22"/>
        </w:rPr>
      </w:pPr>
    </w:p>
    <w:p w14:paraId="7BA06315" w14:textId="4A0EEBBC" w:rsidR="00130DAF" w:rsidRPr="00A3232B" w:rsidRDefault="00130DAF" w:rsidP="00455780">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455780">
      <w:pPr>
        <w:spacing w:line="276" w:lineRule="auto"/>
        <w:jc w:val="both"/>
        <w:rPr>
          <w:rFonts w:asciiTheme="majorBidi" w:hAnsiTheme="majorBidi" w:cstheme="majorBidi"/>
          <w:sz w:val="22"/>
          <w:szCs w:val="22"/>
        </w:rPr>
      </w:pPr>
    </w:p>
    <w:p w14:paraId="444DF76F" w14:textId="77777777" w:rsidR="000C7D66" w:rsidRDefault="00130DAF" w:rsidP="000C7D66">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reviewers’ comments, which we </w:t>
      </w:r>
      <w:r w:rsidR="00194049" w:rsidRPr="00A3232B">
        <w:rPr>
          <w:rFonts w:asciiTheme="majorBidi" w:hAnsiTheme="majorBidi" w:cstheme="majorBidi"/>
        </w:rPr>
        <w:t>hope you will find satisfactory</w:t>
      </w:r>
      <w:r w:rsidRPr="00A3232B">
        <w:rPr>
          <w:rFonts w:asciiTheme="majorBidi" w:hAnsiTheme="majorBidi" w:cstheme="majorBidi"/>
        </w:rPr>
        <w:t xml:space="preserve">. Details of the changes appear below, with our responses in blue.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0C7D66">
      <w:pPr>
        <w:pStyle w:val="ListParagraph"/>
        <w:ind w:left="0"/>
        <w:jc w:val="both"/>
        <w:rPr>
          <w:rFonts w:asciiTheme="majorBidi" w:hAnsiTheme="majorBidi" w:cstheme="majorBidi"/>
        </w:rPr>
      </w:pPr>
    </w:p>
    <w:p w14:paraId="628E4C18" w14:textId="446E8F6C" w:rsidR="00FF693E" w:rsidRPr="00A3232B" w:rsidRDefault="000C7D66" w:rsidP="000C7D66">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that have helped with preliminary analysis and that were meant to be included in the original submission: </w:t>
      </w:r>
      <w:r w:rsidR="00EF104D" w:rsidRPr="000C7D66">
        <w:rPr>
          <w:rFonts w:asciiTheme="majorBidi" w:hAnsiTheme="majorBidi" w:cstheme="majorBidi"/>
        </w:rPr>
        <w:t xml:space="preserve">Anna </w:t>
      </w:r>
      <w:proofErr w:type="spellStart"/>
      <w:r w:rsidRPr="000C7D66">
        <w:rPr>
          <w:rFonts w:asciiTheme="majorBidi" w:hAnsiTheme="majorBidi" w:cstheme="majorBidi"/>
        </w:rPr>
        <w:t>Selmecki</w:t>
      </w:r>
      <w:proofErr w:type="spellEnd"/>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proofErr w:type="spellStart"/>
      <w:r w:rsidRPr="000C7D66">
        <w:rPr>
          <w:rFonts w:asciiTheme="majorBidi" w:hAnsiTheme="majorBidi" w:cstheme="majorBidi"/>
        </w:rPr>
        <w:t>Pétra</w:t>
      </w:r>
      <w:proofErr w:type="spellEnd"/>
      <w:r w:rsidRPr="000C7D66">
        <w:rPr>
          <w:rFonts w:asciiTheme="majorBidi" w:hAnsiTheme="majorBidi" w:cstheme="majorBidi"/>
        </w:rPr>
        <w:t xml:space="preserve"> </w:t>
      </w:r>
      <w:proofErr w:type="spellStart"/>
      <w:r w:rsidR="00EF104D" w:rsidRPr="000C7D66">
        <w:rPr>
          <w:rFonts w:asciiTheme="majorBidi" w:hAnsiTheme="majorBidi" w:cstheme="majorBidi"/>
        </w:rPr>
        <w:t>Vande</w:t>
      </w:r>
      <w:proofErr w:type="spellEnd"/>
      <w:r w:rsidR="00EF104D" w:rsidRPr="000C7D66">
        <w:rPr>
          <w:rFonts w:asciiTheme="majorBidi" w:hAnsiTheme="majorBidi" w:cstheme="majorBidi"/>
        </w:rPr>
        <w:t xml:space="preserv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FF693E">
      <w:pPr>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455780">
      <w:pPr>
        <w:spacing w:line="276" w:lineRule="auto"/>
        <w:jc w:val="both"/>
        <w:rPr>
          <w:rFonts w:asciiTheme="majorBidi" w:hAnsiTheme="majorBidi" w:cstheme="majorBidi"/>
          <w:sz w:val="22"/>
          <w:szCs w:val="22"/>
        </w:rPr>
      </w:pPr>
    </w:p>
    <w:p w14:paraId="6C24128F" w14:textId="77777777" w:rsidR="00130DAF" w:rsidRPr="00A3232B" w:rsidRDefault="00130DAF" w:rsidP="00455780">
      <w:pPr>
        <w:spacing w:line="276" w:lineRule="auto"/>
        <w:jc w:val="both"/>
        <w:rPr>
          <w:rFonts w:asciiTheme="majorBidi" w:hAnsiTheme="majorBidi" w:cstheme="majorBidi"/>
          <w:sz w:val="22"/>
          <w:szCs w:val="22"/>
        </w:rPr>
      </w:pPr>
    </w:p>
    <w:p w14:paraId="3EE8F588" w14:textId="50402004" w:rsidR="00130DAF" w:rsidRPr="00A3232B" w:rsidRDefault="00130DAF" w:rsidP="00455780">
      <w:pPr>
        <w:spacing w:line="276" w:lineRule="auto"/>
        <w:jc w:val="both"/>
        <w:rPr>
          <w:rFonts w:asciiTheme="majorBidi" w:hAnsiTheme="majorBidi" w:cstheme="majorBidi"/>
          <w:sz w:val="22"/>
          <w:szCs w:val="22"/>
        </w:rPr>
      </w:pPr>
    </w:p>
    <w:p w14:paraId="0A20265F" w14:textId="47192B32" w:rsidR="00130DAF" w:rsidRPr="00A3232B" w:rsidRDefault="001C2077"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455780">
      <w:pPr>
        <w:bidi/>
        <w:spacing w:line="276" w:lineRule="auto"/>
        <w:jc w:val="both"/>
        <w:rPr>
          <w:rFonts w:asciiTheme="majorBidi" w:hAnsiTheme="majorBidi" w:cstheme="majorBidi"/>
          <w:sz w:val="22"/>
          <w:szCs w:val="22"/>
        </w:rPr>
      </w:pPr>
    </w:p>
    <w:p w14:paraId="7B4E9543" w14:textId="77777777" w:rsidR="00130DAF" w:rsidRPr="00A3232B" w:rsidRDefault="00130DAF" w:rsidP="00455780">
      <w:pPr>
        <w:spacing w:line="276" w:lineRule="auto"/>
        <w:jc w:val="both"/>
        <w:rPr>
          <w:rFonts w:asciiTheme="majorBidi" w:hAnsiTheme="majorBidi" w:cstheme="majorBidi"/>
          <w:sz w:val="22"/>
          <w:szCs w:val="22"/>
        </w:rPr>
      </w:pPr>
    </w:p>
    <w:p w14:paraId="10C125A0" w14:textId="77777777" w:rsidR="00130DAF"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455780">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455780">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A3232B">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4813DFF0" w14:textId="77777777" w:rsidR="000C7D66" w:rsidRDefault="00A3232B" w:rsidP="00A3232B">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 We missed that it can also have a positive meaning like “bypass”. We appreciate your suggestions, but we decided to keep the original title structure while replacing “detour” with “diversion”, which we think only means “distraction or dead end” and not “necessary side road”. If you disagree, we are willing to consider the title you suggested.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next-generation sequencing, as it allows the investigation of evolution dynamics without relying on sequencing data.</w:t>
      </w:r>
    </w:p>
    <w:p w14:paraId="11DA649C" w14:textId="5CDE1896" w:rsidR="00941592" w:rsidRDefault="000C7D66" w:rsidP="008F52EF">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 xml:space="preserve">1. Based on the literature, the rates of chromosome gain and loss exhibit an approximately tenfold difference, and the impact of heat stress on the transition between aneuploidy and euploidy remains unclear. The current model assumes equal rates for both gaining and losing a chromosome. If one were to </w:t>
      </w:r>
      <w:r w:rsidR="00A3232B" w:rsidRPr="00A3232B">
        <w:rPr>
          <w:rFonts w:asciiTheme="majorBidi" w:hAnsiTheme="majorBidi" w:cstheme="majorBidi"/>
          <w:color w:val="000000"/>
          <w:sz w:val="22"/>
          <w:szCs w:val="22"/>
        </w:rPr>
        <w:lastRenderedPageBreak/>
        <w:t>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01FAF6A7" w:rsidR="00BB4658" w:rsidRDefault="008F52EF" w:rsidP="00BB4658">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assumed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did not perform well</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We mention this in the main text (line 277): “</w:t>
      </w:r>
      <w:r w:rsidRPr="004001D3">
        <w:rPr>
          <w:rFonts w:asciiTheme="majorBidi" w:hAnsiTheme="majorBidi" w:cstheme="majorBidi"/>
          <w:color w:val="4472C4" w:themeColor="accent1"/>
          <w:sz w:val="22"/>
          <w:szCs w:val="22"/>
          <w:lang w:val="en-US"/>
        </w:rPr>
        <w:t>A model that assumed 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 xml:space="preserve">(as in </w:t>
      </w:r>
      <w:proofErr w:type="spellStart"/>
      <w:r w:rsidRPr="009B3299">
        <w:rPr>
          <w:rFonts w:asciiTheme="majorBidi" w:hAnsiTheme="majorBidi" w:cstheme="majorBidi"/>
          <w:color w:val="4472C4" w:themeColor="accent1"/>
          <w:sz w:val="22"/>
          <w:szCs w:val="22"/>
          <w:lang w:val="en-US"/>
        </w:rPr>
        <w:t>Sheltzer</w:t>
      </w:r>
      <w:proofErr w:type="spellEnd"/>
      <w:r w:rsidRPr="009B3299">
        <w:rPr>
          <w:rFonts w:asciiTheme="majorBidi" w:hAnsiTheme="majorBidi" w:cstheme="majorBidi"/>
          <w:color w:val="4472C4" w:themeColor="accent1"/>
          <w:sz w:val="22"/>
          <w:szCs w:val="22"/>
          <w:lang w:val="en-US"/>
        </w:rPr>
        <w:t xml:space="preserve"> et al.</w:t>
      </w:r>
      <w:r w:rsidRPr="009B3299">
        <w:rPr>
          <w:rFonts w:asciiTheme="majorBidi" w:hAnsiTheme="majorBidi" w:cstheme="majorBidi"/>
          <w:color w:val="4472C4" w:themeColor="accent1"/>
          <w:sz w:val="22"/>
          <w:szCs w:val="22"/>
          <w:vertAlign w:val="superscript"/>
          <w:lang w:val="en-US"/>
        </w:rPr>
        <w:t>56</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we could not find evidence of an increase in mutation rate in aneuploid cells (line 185).</w:t>
      </w:r>
    </w:p>
    <w:p w14:paraId="041D5567" w14:textId="3D767B2C" w:rsidR="008F52EF" w:rsidRDefault="00661ACD" w:rsidP="00BB4658">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now </w:t>
      </w:r>
      <w:r w:rsidR="008F52EF">
        <w:rPr>
          <w:rFonts w:asciiTheme="majorBidi" w:hAnsiTheme="majorBidi" w:cstheme="majorBidi"/>
          <w:color w:val="4472C4" w:themeColor="accent1"/>
          <w:sz w:val="22"/>
          <w:szCs w:val="22"/>
          <w:lang w:val="en-US"/>
        </w:rPr>
        <w:t xml:space="preserve">consider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w:t>
      </w:r>
      <w:proofErr w:type="gramStart"/>
      <w:r w:rsidR="00BB4658">
        <w:rPr>
          <w:rFonts w:asciiTheme="majorBidi" w:hAnsiTheme="majorBidi" w:cstheme="majorBidi"/>
          <w:color w:val="4472C4" w:themeColor="accent1"/>
          <w:sz w:val="22"/>
          <w:szCs w:val="22"/>
          <w:lang w:val="en-US"/>
        </w:rPr>
        <w:t>these effect</w:t>
      </w:r>
      <w:proofErr w:type="gramEnd"/>
      <w:r w:rsidR="00BB4658">
        <w:rPr>
          <w:rFonts w:asciiTheme="majorBidi" w:hAnsiTheme="majorBidi" w:cstheme="majorBidi"/>
          <w:color w:val="4472C4" w:themeColor="accent1"/>
          <w:sz w:val="22"/>
          <w:szCs w:val="22"/>
          <w:lang w:val="en-US"/>
        </w:rPr>
        <w:t xml:space="preserve"> in a new paragraph (line XXX) and </w:t>
      </w:r>
      <w:r w:rsidR="00BB4658">
        <w:rPr>
          <w:rFonts w:asciiTheme="majorBidi" w:hAnsiTheme="majorBidi" w:cstheme="majorBidi"/>
          <w:color w:val="4472C4" w:themeColor="accent1"/>
          <w:sz w:val="22"/>
          <w:szCs w:val="22"/>
          <w:lang w:val="en-US"/>
        </w:rPr>
        <w:t xml:space="preserve">supporting </w:t>
      </w:r>
      <w:r w:rsidR="00BB4658" w:rsidRPr="008F52EF">
        <w:rPr>
          <w:rFonts w:asciiTheme="majorBidi" w:hAnsiTheme="majorBidi" w:cstheme="majorBidi"/>
          <w:color w:val="4472C4" w:themeColor="accent1"/>
          <w:sz w:val="22"/>
          <w:szCs w:val="22"/>
          <w:lang w:val="en-US"/>
        </w:rPr>
        <w:t>figure</w:t>
      </w:r>
      <w:r w:rsidR="00BB4658">
        <w:rPr>
          <w:rFonts w:asciiTheme="majorBidi" w:hAnsiTheme="majorBidi" w:cstheme="majorBidi"/>
          <w:color w:val="4472C4" w:themeColor="accent1"/>
          <w:sz w:val="22"/>
          <w:szCs w:val="22"/>
          <w:lang w:val="en-US"/>
        </w:rPr>
        <w:t>, Figure S11</w:t>
      </w:r>
      <w:r w:rsidR="00BB4658">
        <w:rPr>
          <w:rFonts w:asciiTheme="majorBidi" w:hAnsiTheme="majorBidi" w:cstheme="majorBidi"/>
          <w:color w:val="4472C4" w:themeColor="accent1"/>
          <w:sz w:val="22"/>
          <w:szCs w:val="22"/>
          <w:lang w:val="en-US"/>
        </w:rPr>
        <w:t>:</w:t>
      </w:r>
    </w:p>
    <w:p w14:paraId="3DCA8063" w14:textId="1F8D582E" w:rsidR="00BB4658" w:rsidRPr="008F52EF" w:rsidRDefault="00BB4658" w:rsidP="00BB4658">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w:t>
      </w:r>
      <w:r w:rsidRPr="00BB4658">
        <w:rPr>
          <w:rFonts w:asciiTheme="majorBidi" w:hAnsiTheme="majorBidi" w:cstheme="majorBidi"/>
          <w:color w:val="4472C4" w:themeColor="accent1"/>
          <w:sz w:val="22"/>
          <w:szCs w:val="22"/>
          <w:lang w:val="en-US"/>
        </w:rPr>
        <w:t>increases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B72819">
      <w:pPr>
        <w:spacing w:before="100" w:beforeAutospacing="1" w:after="100" w:afterAutospacing="1"/>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7">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1F1F6306" w14:textId="488C5A60" w:rsidR="00B72819" w:rsidRPr="00BB4658" w:rsidRDefault="00B72819" w:rsidP="00B72819">
      <w:pPr>
        <w:pStyle w:val="NormalWeb"/>
        <w:rPr>
          <w:rFonts w:asciiTheme="majorBidi" w:hAnsiTheme="majorBidi" w:cstheme="majorBidi"/>
          <w:color w:val="4472C4" w:themeColor="accent1"/>
          <w:sz w:val="22"/>
          <w:szCs w:val="22"/>
          <w:lang w:val="en-US"/>
        </w:rPr>
      </w:pPr>
      <w:r w:rsidRPr="00BB4658">
        <w:rPr>
          <w:rFonts w:asciiTheme="majorBidi" w:hAnsiTheme="majorBidi" w:cstheme="majorBidi"/>
          <w:b/>
          <w:bCs/>
          <w:color w:val="4472C4" w:themeColor="accent1"/>
          <w:sz w:val="22"/>
          <w:szCs w:val="22"/>
          <w:lang w:val="en-US"/>
        </w:rPr>
        <w:t xml:space="preserve">Figure S11: Effect of genomic instability on genotype frequencies. </w:t>
      </w:r>
      <w:r w:rsidRPr="00BB4658">
        <w:rPr>
          <w:rFonts w:asciiTheme="majorBidi" w:hAnsiTheme="majorBidi" w:cstheme="majorBidi"/>
          <w:color w:val="4472C4" w:themeColor="accent1"/>
          <w:sz w:val="22"/>
          <w:szCs w:val="22"/>
          <w:lang w:val="en-US"/>
        </w:rPr>
        <w:t>Genotype frequencies in the</w:t>
      </w:r>
      <w:r>
        <w:rPr>
          <w:rFonts w:asciiTheme="majorBidi" w:hAnsiTheme="majorBidi" w:cstheme="majorBidi"/>
          <w:color w:val="4472C4" w:themeColor="accent1"/>
          <w:sz w:val="22"/>
          <w:szCs w:val="22"/>
          <w:lang w:val="en-US"/>
        </w:rPr>
        <w:t xml:space="preserve"> d</w:t>
      </w:r>
      <w:r w:rsidRPr="00BB4658">
        <w:rPr>
          <w:rFonts w:asciiTheme="majorBidi" w:hAnsiTheme="majorBidi" w:cstheme="majorBidi"/>
          <w:color w:val="4472C4" w:themeColor="accent1"/>
          <w:sz w:val="22"/>
          <w:szCs w:val="22"/>
          <w:lang w:val="en-US"/>
        </w:rPr>
        <w:t>eterministic model without drift and with MAP parameter estimates (</w:t>
      </w:r>
      <w:r w:rsidRPr="00BB4658">
        <w:rPr>
          <w:rFonts w:asciiTheme="majorBidi" w:hAnsiTheme="majorBidi" w:cstheme="majorBidi"/>
          <w:b/>
          <w:bCs/>
          <w:color w:val="4472C4" w:themeColor="accent1"/>
          <w:sz w:val="22"/>
          <w:szCs w:val="22"/>
          <w:lang w:val="en-US"/>
        </w:rPr>
        <w:t>A</w:t>
      </w:r>
      <w:r w:rsidRPr="00BB4658">
        <w:rPr>
          <w:rFonts w:asciiTheme="majorBidi" w:hAnsiTheme="majorBidi" w:cstheme="majorBidi"/>
          <w:color w:val="4472C4" w:themeColor="accent1"/>
          <w:sz w:val="22"/>
          <w:szCs w:val="22"/>
          <w:lang w:val="en-US"/>
        </w:rPr>
        <w:t xml:space="preserve">), with 100-fold increase in rate </w:t>
      </w:r>
      <w:r>
        <w:rPr>
          <w:rFonts w:asciiTheme="majorBidi" w:hAnsiTheme="majorBidi" w:cstheme="majorBidi"/>
          <w:color w:val="4472C4" w:themeColor="accent1"/>
          <w:sz w:val="22"/>
          <w:szCs w:val="22"/>
          <w:lang w:val="en-US"/>
        </w:rPr>
        <w:t>o</w:t>
      </w:r>
      <w:r w:rsidRPr="00BB4658">
        <w:rPr>
          <w:rFonts w:asciiTheme="majorBidi" w:hAnsiTheme="majorBidi" w:cstheme="majorBidi"/>
          <w:color w:val="4472C4" w:themeColor="accent1"/>
          <w:sz w:val="22"/>
          <w:szCs w:val="22"/>
          <w:lang w:val="en-US"/>
        </w:rPr>
        <w:t>f chromosome loss (transition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t>
      </w:r>
      <w:r w:rsidRPr="00BB4658">
        <w:rPr>
          <w:rFonts w:asciiTheme="majorBidi" w:hAnsiTheme="majorBidi" w:cstheme="majorBidi"/>
          <w:b/>
          <w:bCs/>
          <w:color w:val="4472C4" w:themeColor="accent1"/>
          <w:sz w:val="22"/>
          <w:szCs w:val="22"/>
          <w:lang w:val="en-US"/>
        </w:rPr>
        <w:t>B</w:t>
      </w:r>
      <w:r w:rsidRPr="00BB4658">
        <w:rPr>
          <w:rFonts w:asciiTheme="majorBidi" w:hAnsiTheme="majorBidi" w:cstheme="majorBidi"/>
          <w:color w:val="4472C4" w:themeColor="accent1"/>
          <w:sz w:val="22"/>
          <w:szCs w:val="22"/>
          <w:lang w:val="en-US"/>
        </w:rPr>
        <w:t>), and with 10-fold increase in mutation rate in</w:t>
      </w:r>
      <w:r>
        <w:rPr>
          <w:rFonts w:asciiTheme="majorBidi" w:hAnsiTheme="majorBidi" w:cstheme="majorBidi"/>
          <w:color w:val="4472C4" w:themeColor="accent1"/>
          <w:sz w:val="22"/>
          <w:szCs w:val="22"/>
          <w:lang w:val="en-US"/>
        </w:rPr>
        <w:t xml:space="preserve"> a</w:t>
      </w:r>
      <w:r w:rsidRPr="00BB4658">
        <w:rPr>
          <w:rFonts w:asciiTheme="majorBidi" w:hAnsiTheme="majorBidi" w:cstheme="majorBidi"/>
          <w:color w:val="4472C4" w:themeColor="accent1"/>
          <w:sz w:val="22"/>
          <w:szCs w:val="22"/>
          <w:lang w:val="en-US"/>
        </w:rPr>
        <w:t>neuploid cells (</w:t>
      </w:r>
      <w:r w:rsidRPr="00BB4658">
        <w:rPr>
          <w:rFonts w:asciiTheme="majorBidi" w:hAnsiTheme="majorBidi" w:cstheme="majorBidi"/>
          <w:b/>
          <w:bCs/>
          <w:color w:val="4472C4" w:themeColor="accent1"/>
          <w:sz w:val="22"/>
          <w:szCs w:val="22"/>
          <w:lang w:val="en-US"/>
        </w:rPr>
        <w:t>C</w:t>
      </w:r>
      <w:r w:rsidRPr="00BB4658">
        <w:rPr>
          <w:rFonts w:asciiTheme="majorBidi" w:hAnsiTheme="majorBidi" w:cstheme="majorBidi"/>
          <w:color w:val="4472C4" w:themeColor="accent1"/>
          <w:sz w:val="22"/>
          <w:szCs w:val="22"/>
          <w:lang w:val="en-US"/>
        </w:rPr>
        <w:t xml:space="preserve">). Corresponding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values are 0.098, 0.223, and 0.519. </w:t>
      </w:r>
    </w:p>
    <w:p w14:paraId="2F3002F1" w14:textId="72772151" w:rsidR="00941592" w:rsidRDefault="00A3232B" w:rsidP="00500ED3">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 xml:space="preserve">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using fitness results between 2n* and 2n+1 from Fig4A in Yona's work. However, it's noteworthy that the </w:t>
      </w:r>
      <w:r w:rsidRPr="00A3232B">
        <w:rPr>
          <w:rFonts w:asciiTheme="majorBidi" w:hAnsiTheme="majorBidi" w:cstheme="majorBidi"/>
          <w:color w:val="000000"/>
          <w:sz w:val="22"/>
          <w:szCs w:val="22"/>
        </w:rPr>
        <w:lastRenderedPageBreak/>
        <w:t>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14D1DCB2" w:rsidR="00C76FFC" w:rsidRDefault="00A9494E" w:rsidP="00C76FFC">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 xml:space="preserve">The growth curves of 2n* that evolved in minimal media (“refined” from Yona et al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 (line 390)</w:t>
      </w:r>
      <w:r w:rsidR="00C76FFC">
        <w:rPr>
          <w:rFonts w:asciiTheme="majorBidi" w:hAnsiTheme="majorBidi" w:cstheme="majorBidi"/>
          <w:color w:val="4472C4" w:themeColor="accent1"/>
          <w:sz w:val="22"/>
          <w:szCs w:val="22"/>
          <w:lang w:val="en-US"/>
        </w:rPr>
        <w:t>, the full details are in the supplementary material, under the heading “extended informative prior distribution” (line 605).</w:t>
      </w:r>
    </w:p>
    <w:p w14:paraId="42634F6A" w14:textId="3FDCFED2" w:rsidR="00C76FFC" w:rsidRPr="00A9494E" w:rsidRDefault="00C76FFC" w:rsidP="00C76FFC">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thought about adapting the model to consider a switch in the evolutionary conditions, but this means extend</w:t>
      </w:r>
      <w:r w:rsidR="007B5EC4">
        <w:rPr>
          <w:rFonts w:asciiTheme="majorBidi" w:hAnsiTheme="majorBidi" w:cstheme="majorBidi"/>
          <w:color w:val="4472C4" w:themeColor="accent1"/>
          <w:sz w:val="22"/>
          <w:szCs w:val="22"/>
          <w:lang w:val="en-US"/>
        </w:rPr>
        <w:t>ing</w:t>
      </w:r>
      <w:r>
        <w:rPr>
          <w:rFonts w:asciiTheme="majorBidi" w:hAnsiTheme="majorBidi" w:cstheme="majorBidi"/>
          <w:color w:val="4472C4" w:themeColor="accent1"/>
          <w:sz w:val="22"/>
          <w:szCs w:val="22"/>
          <w:lang w:val="en-US"/>
        </w:rPr>
        <w:t xml:space="preserve"> the model with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Note that the aneuploidy and mutation rates might also be affected by the difference in media.</w:t>
      </w:r>
    </w:p>
    <w:p w14:paraId="3BFF12EB" w14:textId="71830C30" w:rsidR="00C76FFC" w:rsidRPr="00C76FFC" w:rsidRDefault="00A3232B" w:rsidP="009B3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US"/>
          <w14:ligatures w14:val="standardContextual"/>
        </w:rPr>
      </w:pPr>
    </w:p>
    <w:p w14:paraId="3483C829" w14:textId="47D02E23" w:rsidR="002B4FE2" w:rsidRDefault="00C76FFC" w:rsidP="005319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 xml:space="preserve">uses the parameters </w:t>
      </w:r>
      <w:proofErr w:type="spellStart"/>
      <w:r>
        <w:rPr>
          <w:rFonts w:asciiTheme="majorBidi" w:hAnsiTheme="majorBidi" w:cstheme="majorBidi"/>
          <w:color w:val="4472C4" w:themeColor="accent1"/>
          <w:sz w:val="22"/>
          <w:szCs w:val="22"/>
          <w:lang w:val="en-US"/>
        </w:rPr>
        <w:t>w</w:t>
      </w:r>
      <w:r w:rsidRPr="00C76FFC">
        <w:rPr>
          <w:rFonts w:asciiTheme="majorBidi" w:hAnsiTheme="majorBidi" w:cstheme="majorBidi"/>
          <w:color w:val="4472C4" w:themeColor="accent1"/>
          <w:sz w:val="22"/>
          <w:szCs w:val="22"/>
          <w:vertAlign w:val="subscript"/>
          <w:lang w:val="en-US"/>
        </w:rPr>
        <w:t>i</w:t>
      </w:r>
      <w:proofErr w:type="spellEnd"/>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Pr>
          <w:rFonts w:asciiTheme="majorBidi" w:hAnsiTheme="majorBidi" w:cstheme="majorBidi"/>
          <w:color w:val="4472C4" w:themeColor="accent1"/>
          <w:sz w:val="22"/>
          <w:szCs w:val="22"/>
          <w:lang w:val="en-US"/>
        </w:rPr>
        <w:t xml:space="preserve">s, </w:t>
      </w:r>
      <w:r>
        <w:rPr>
          <w:rFonts w:asciiTheme="majorBidi" w:hAnsiTheme="majorBidi" w:cstheme="majorBidi"/>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c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the model 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5460325E" w14:textId="073BC8ED" w:rsidR="002B4FE2" w:rsidRDefault="002B4FE2" w:rsidP="005319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However, there was indeed an error in our presentation of the values for b, c, and s, and we have decided to remove these interpretations altogether, because they introduce further assumptions (e.g., b is additive but 1-c is multiplicative).</w:t>
      </w:r>
    </w:p>
    <w:p w14:paraId="177A5220" w14:textId="268A1064" w:rsidR="002B4FE2" w:rsidRDefault="002B4FE2" w:rsidP="005319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therefore removed all mentions of b, c, and s from the text.</w:t>
      </w:r>
    </w:p>
    <w:p w14:paraId="22E3C5F9" w14:textId="260F26EF" w:rsidR="00941592" w:rsidRPr="002B4FE2" w:rsidRDefault="00A3232B" w:rsidP="002B4F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4A111C">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4A111C">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 xml:space="preserve">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aligns with the climbing Mount Probable theory, wherein the prior genotype affects the likelihood of the next mutation. Given that aneuploidy might enhance the probability of beneficial mutations and that ancestor cells might require at least two mutations to transition to the 2n* stage (with the first mutation </w:t>
      </w:r>
      <w:r w:rsidRPr="00A3232B">
        <w:rPr>
          <w:rFonts w:asciiTheme="majorBidi" w:hAnsiTheme="majorBidi" w:cstheme="majorBidi"/>
          <w:color w:val="000000"/>
          <w:sz w:val="22"/>
          <w:szCs w:val="22"/>
        </w:rPr>
        <w:lastRenderedPageBreak/>
        <w:t>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174C77">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0BEF12D3" w:rsidR="00860E6C" w:rsidRPr="00860E6C" w:rsidRDefault="00860E6C" w:rsidP="00860E6C">
      <w:pPr>
        <w:pStyle w:val="NormalWeb"/>
        <w:rPr>
          <w:lang w:val="en-US"/>
        </w:rPr>
      </w:pPr>
      <w:r>
        <w:rPr>
          <w:rFonts w:asciiTheme="majorBidi" w:hAnsiTheme="majorBidi" w:cstheme="majorBidi"/>
          <w:color w:val="000000"/>
          <w:sz w:val="22"/>
          <w:szCs w:val="22"/>
          <w:lang w:val="en-US"/>
        </w:rPr>
        <w:t xml:space="preserve">We have revised the relevant section and hope it is clearer now (line 104): </w:t>
      </w:r>
      <w:r w:rsidRPr="00860E6C">
        <w:rPr>
          <w:rFonts w:asciiTheme="majorBidi" w:hAnsiTheme="majorBidi" w:cstheme="majorBidi"/>
          <w:color w:val="4472C4" w:themeColor="accent1"/>
          <w:sz w:val="22"/>
          <w:szCs w:val="22"/>
          <w:lang w:val="en-US"/>
        </w:rPr>
        <w:t>“</w:t>
      </w:r>
      <w:r w:rsidRPr="00860E6C">
        <w:rPr>
          <w:rFonts w:asciiTheme="majorBidi" w:hAnsiTheme="majorBidi" w:cstheme="majorBidi"/>
          <w:color w:val="4472C4" w:themeColor="accent1"/>
          <w:sz w:val="22"/>
          <w:szCs w:val="22"/>
        </w:rPr>
        <w:t xml:space="preserve">The estimated beneficial mutation rate is </w:t>
      </w:r>
      <w:r w:rsidRPr="00860E6C">
        <w:rPr>
          <w:rFonts w:ascii="Cambria Math" w:hAnsi="Cambria Math" w:cs="Cambria Math"/>
          <w:color w:val="4472C4" w:themeColor="accent1"/>
          <w:sz w:val="22"/>
          <w:szCs w:val="22"/>
        </w:rPr>
        <w:t>𝜇</w:t>
      </w:r>
      <w:r w:rsidRPr="00860E6C">
        <w:rPr>
          <w:rFonts w:asciiTheme="majorBidi" w:hAnsiTheme="majorBidi" w:cstheme="majorBidi"/>
          <w:color w:val="4472C4" w:themeColor="accent1"/>
          <w:sz w:val="22"/>
          <w:szCs w:val="22"/>
        </w:rPr>
        <w:t xml:space="preserve"> = 2.965 · 10</w:t>
      </w:r>
      <w:r w:rsidRPr="00860E6C">
        <w:rPr>
          <w:rFonts w:asciiTheme="majorBidi" w:hAnsiTheme="majorBidi" w:cstheme="majorBidi"/>
          <w:color w:val="4472C4" w:themeColor="accent1"/>
          <w:position w:val="8"/>
          <w:sz w:val="22"/>
          <w:szCs w:val="22"/>
        </w:rPr>
        <w:t xml:space="preserve">−6 </w:t>
      </w:r>
      <w:r w:rsidRPr="00860E6C">
        <w:rPr>
          <w:rFonts w:asciiTheme="majorBidi" w:hAnsiTheme="majorBidi" w:cstheme="majorBidi"/>
          <w:color w:val="4472C4" w:themeColor="accent1"/>
          <w:sz w:val="22"/>
          <w:szCs w:val="22"/>
        </w:rPr>
        <w:t>[2.718 · 10</w:t>
      </w:r>
      <w:r w:rsidRPr="00860E6C">
        <w:rPr>
          <w:rFonts w:asciiTheme="majorBidi" w:hAnsiTheme="majorBidi" w:cstheme="majorBidi"/>
          <w:color w:val="4472C4" w:themeColor="accent1"/>
          <w:position w:val="8"/>
          <w:sz w:val="22"/>
          <w:szCs w:val="22"/>
        </w:rPr>
        <w:t xml:space="preserve">−7 </w:t>
      </w:r>
      <w:r w:rsidRPr="00860E6C">
        <w:rPr>
          <w:rFonts w:asciiTheme="majorBidi" w:hAnsiTheme="majorBidi" w:cstheme="majorBidi"/>
          <w:color w:val="4472C4" w:themeColor="accent1"/>
          <w:sz w:val="22"/>
          <w:szCs w:val="22"/>
        </w:rPr>
        <w:t>− 3.589 · 10</w:t>
      </w:r>
      <w:r w:rsidRPr="00860E6C">
        <w:rPr>
          <w:rFonts w:asciiTheme="majorBidi" w:hAnsiTheme="majorBidi" w:cstheme="majorBidi"/>
          <w:color w:val="4472C4" w:themeColor="accent1"/>
          <w:position w:val="8"/>
          <w:sz w:val="22"/>
          <w:szCs w:val="22"/>
        </w:rPr>
        <w:t>−6</w:t>
      </w:r>
      <w:r w:rsidRPr="00860E6C">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(that is, roughly 3 out of 10</w:t>
      </w:r>
      <w:r w:rsidRPr="00860E6C">
        <w:rPr>
          <w:rFonts w:asciiTheme="majorBidi" w:hAnsiTheme="majorBidi" w:cstheme="majorBidi"/>
          <w:color w:val="4472C4" w:themeColor="accent1"/>
          <w:position w:val="8"/>
          <w:sz w:val="22"/>
          <w:szCs w:val="22"/>
          <w:u w:val="single"/>
        </w:rPr>
        <w:t xml:space="preserve">6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From the literature, the mutation rate per base pair is roughly 2 − 3 · 10</w:t>
      </w:r>
      <w:r w:rsidRPr="00860E6C">
        <w:rPr>
          <w:rFonts w:asciiTheme="majorBidi" w:hAnsiTheme="majorBidi" w:cstheme="majorBidi"/>
          <w:color w:val="4472C4" w:themeColor="accent1"/>
          <w:position w:val="8"/>
          <w:sz w:val="22"/>
          <w:szCs w:val="22"/>
        </w:rPr>
        <w:t xml:space="preserve">−10 </w:t>
      </w:r>
      <w:r w:rsidRPr="00860E6C">
        <w:rPr>
          <w:rFonts w:asciiTheme="majorBidi" w:hAnsiTheme="majorBidi" w:cstheme="majorBidi"/>
          <w:color w:val="4472C4" w:themeColor="accent1"/>
          <w:sz w:val="22"/>
          <w:szCs w:val="22"/>
        </w:rPr>
        <w:t>(refs.</w:t>
      </w:r>
      <w:r w:rsidRPr="00860E6C">
        <w:rPr>
          <w:rFonts w:asciiTheme="majorBidi" w:hAnsiTheme="majorBidi" w:cstheme="majorBidi"/>
          <w:color w:val="4472C4" w:themeColor="accent1"/>
          <w:position w:val="8"/>
          <w:sz w:val="22"/>
          <w:szCs w:val="22"/>
        </w:rPr>
        <w:t>74,35</w:t>
      </w:r>
      <w:r w:rsidRPr="00860E6C">
        <w:rPr>
          <w:rFonts w:asciiTheme="majorBidi" w:hAnsiTheme="majorBidi" w:cstheme="majorBidi"/>
          <w:color w:val="4472C4" w:themeColor="accent1"/>
          <w:sz w:val="22"/>
          <w:szCs w:val="22"/>
        </w:rPr>
        <w:t>), but it may be higher under heat stress, as several stresses</w:t>
      </w:r>
      <w:r w:rsidRPr="00860E6C">
        <w:rPr>
          <w:rFonts w:asciiTheme="majorBidi" w:hAnsiTheme="majorBidi" w:cstheme="majorBidi"/>
          <w:color w:val="4472C4" w:themeColor="accent1"/>
          <w:position w:val="8"/>
          <w:sz w:val="22"/>
          <w:szCs w:val="22"/>
        </w:rPr>
        <w:t>20</w:t>
      </w:r>
      <w:r w:rsidRPr="00860E6C">
        <w:rPr>
          <w:rFonts w:asciiTheme="majorBidi" w:hAnsiTheme="majorBidi" w:cstheme="majorBidi"/>
          <w:color w:val="4472C4" w:themeColor="accent1"/>
          <w:sz w:val="22"/>
          <w:szCs w:val="22"/>
        </w:rPr>
        <w:t>, including heat</w:t>
      </w:r>
      <w:r w:rsidRPr="00860E6C">
        <w:rPr>
          <w:rFonts w:asciiTheme="majorBidi" w:hAnsiTheme="majorBidi" w:cstheme="majorBidi"/>
          <w:color w:val="4472C4" w:themeColor="accent1"/>
          <w:position w:val="8"/>
          <w:sz w:val="22"/>
          <w:szCs w:val="22"/>
        </w:rPr>
        <w:t>22</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10</w:t>
      </w:r>
      <w:r w:rsidRPr="00860E6C">
        <w:rPr>
          <w:rFonts w:asciiTheme="majorBidi" w:hAnsiTheme="majorBidi" w:cstheme="majorBidi"/>
          <w:color w:val="4472C4" w:themeColor="accent1"/>
          <w:position w:val="8"/>
          <w:sz w:val="22"/>
          <w:szCs w:val="22"/>
          <w:u w:val="single"/>
        </w:rPr>
        <w:t xml:space="preserve">−10 </w:t>
      </w:r>
      <w:r w:rsidRPr="00860E6C">
        <w:rPr>
          <w:rFonts w:asciiTheme="majorBidi" w:hAnsiTheme="majorBidi" w:cstheme="majorBidi"/>
          <w:color w:val="4472C4" w:themeColor="accent1"/>
          <w:sz w:val="22"/>
          <w:szCs w:val="22"/>
          <w:u w:val="single"/>
        </w:rPr>
        <w:t>× 10 × 1, 000 = 3 · 10</w:t>
      </w:r>
      <w:r w:rsidRPr="00860E6C">
        <w:rPr>
          <w:rFonts w:asciiTheme="majorBidi" w:hAnsiTheme="majorBidi" w:cstheme="majorBidi"/>
          <w:color w:val="4472C4" w:themeColor="accent1"/>
          <w:position w:val="8"/>
          <w:sz w:val="22"/>
          <w:szCs w:val="22"/>
          <w:u w:val="single"/>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A3232B">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57943BE0" w:rsidR="001A6827" w:rsidRPr="001A6827" w:rsidRDefault="00810CB4" w:rsidP="001A6827">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w:t>
      </w:r>
      <w:r w:rsidR="001A6827" w:rsidRPr="001A6827">
        <w:rPr>
          <w:rFonts w:asciiTheme="majorBidi" w:hAnsiTheme="majorBidi" w:cstheme="majorBidi"/>
          <w:color w:val="4472C4" w:themeColor="accent1"/>
          <w:sz w:val="22"/>
          <w:szCs w:val="22"/>
          <w:lang w:val="en-US"/>
        </w:rPr>
        <w:t xml:space="preserve">14,160 </w:t>
      </w:r>
      <w:r w:rsidR="001A6827" w:rsidRPr="001A6827">
        <w:rPr>
          <w:rFonts w:asciiTheme="majorBidi" w:hAnsiTheme="majorBidi" w:cstheme="majorBidi"/>
          <w:color w:val="4472C4" w:themeColor="accent1"/>
          <w:sz w:val="22"/>
          <w:szCs w:val="22"/>
          <w:lang w:val="en-US"/>
        </w:rPr>
        <w:t xml:space="preserve">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w:t>
      </w:r>
      <w:r w:rsidR="001A6827" w:rsidRPr="001A6827">
        <w:rPr>
          <w:rFonts w:asciiTheme="majorBidi" w:hAnsiTheme="majorBidi" w:cstheme="majorBidi"/>
          <w:color w:val="4472C4" w:themeColor="accent1"/>
          <w:sz w:val="22"/>
          <w:szCs w:val="22"/>
          <w:lang w:val="en-US"/>
        </w:rPr>
        <w:t>°C</w:t>
      </w:r>
      <w:r w:rsidR="001A6827" w:rsidRPr="001A6827">
        <w:rPr>
          <w:rFonts w:asciiTheme="majorBidi" w:hAnsiTheme="majorBidi" w:cstheme="majorBidi"/>
          <w:color w:val="4472C4" w:themeColor="accent1"/>
          <w:sz w:val="22"/>
          <w:szCs w:val="22"/>
          <w:lang w:val="en-US"/>
        </w:rPr>
        <w:t>. Out of these, Flynn et al determined 465 variants to be beneficial by comparison to synonymous mutations under the same conditions. The list of these beneficial mutants is in Fig. 5 of their manuscript. We revised the text to say (line 113): “</w:t>
      </w:r>
      <w:r w:rsidR="001A6827" w:rsidRPr="001A6827">
        <w:rPr>
          <w:rFonts w:asciiTheme="majorBidi" w:hAnsiTheme="majorBidi" w:cstheme="majorBidi"/>
          <w:color w:val="4472C4" w:themeColor="accent1"/>
          <w:sz w:val="22"/>
          <w:szCs w:val="22"/>
          <w:lang w:val="en-US"/>
        </w:rPr>
        <w:t>Flynn et al.</w:t>
      </w:r>
      <w:r w:rsidR="001A6827" w:rsidRPr="001A6827">
        <w:rPr>
          <w:rFonts w:asciiTheme="majorBidi" w:hAnsiTheme="majorBidi" w:cstheme="majorBidi"/>
          <w:color w:val="4472C4" w:themeColor="accent1"/>
          <w:sz w:val="22"/>
          <w:szCs w:val="22"/>
          <w:vertAlign w:val="superscript"/>
          <w:lang w:val="en-US"/>
        </w:rPr>
        <w:t>14</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37◦C.</w:t>
      </w:r>
      <w:r w:rsidR="001A6827" w:rsidRPr="001A6827">
        <w:rPr>
          <w:rFonts w:asciiTheme="majorBidi" w:hAnsiTheme="majorBidi" w:cstheme="majorBidi"/>
          <w:color w:val="4472C4" w:themeColor="accent1"/>
          <w:sz w:val="22"/>
          <w:szCs w:val="22"/>
          <w:lang w:val="en-US"/>
        </w:rPr>
        <w:t>”</w:t>
      </w:r>
    </w:p>
    <w:p w14:paraId="04F21F3E" w14:textId="7831040C" w:rsidR="00A3232B" w:rsidRDefault="00A3232B" w:rsidP="00941592">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2473501F" w:rsidR="00B54743" w:rsidRPr="00B54743" w:rsidRDefault="00B54743" w:rsidP="00B54743">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vertAlign w:val="superscript"/>
          <w:lang w:val="en-US"/>
        </w:rPr>
        <w:t>70</w:t>
      </w:r>
      <w:r w:rsidRPr="00B54743">
        <w:rPr>
          <w:rFonts w:asciiTheme="majorBidi" w:hAnsiTheme="majorBidi" w:cstheme="majorBidi"/>
          <w:color w:val="4472C4" w:themeColor="accent1"/>
          <w:sz w:val="22"/>
          <w:szCs w:val="22"/>
        </w:rPr>
        <w:t>, samples 302 were routinely extracted from the evolving populations and tested for heat-shock tolerance. The first generation in which such indication was found was generation 200. Therefore, we determine that 304 aneuploidy did not fix before generation 200.”</w:t>
      </w:r>
    </w:p>
    <w:p w14:paraId="217D82C5" w14:textId="72869250" w:rsidR="00941592" w:rsidRDefault="00A3232B" w:rsidP="00B54743">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lastRenderedPageBreak/>
        <w:br/>
        <w:t>4. In lines, 606 and 620, the referred Figures S3L and S3H do not exist.</w:t>
      </w:r>
    </w:p>
    <w:p w14:paraId="7A1A4A67" w14:textId="291F9E77" w:rsidR="00A3232B" w:rsidRDefault="00941592" w:rsidP="00A3232B">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2n* relative to 2n+1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4001D3">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7E8DAA3C" w14:textId="39111278" w:rsidR="001E76DE" w:rsidRDefault="00F93ABB" w:rsidP="00F93ABB">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000000"/>
          <w:sz w:val="22"/>
          <w:szCs w:val="22"/>
          <w:lang w:val="en-US"/>
        </w:rPr>
        <w:t>You are right. We have now changed the terminology for frequency &gt;95% from “fixed” to “established”. We note that our definition is in line with Yona et al, which write in their supplementary materials “</w:t>
      </w:r>
      <w:r w:rsidR="001E76DE" w:rsidRPr="001E76DE">
        <w:rPr>
          <w:rFonts w:asciiTheme="majorBidi" w:hAnsiTheme="majorBidi" w:cstheme="majorBidi"/>
          <w:color w:val="000000"/>
          <w:sz w:val="22"/>
          <w:szCs w:val="22"/>
          <w:highlight w:val="yellow"/>
        </w:rPr>
        <w:t>In all cases where we report aneuploidy, the estimated part of the population that is reported to either gain or eliminate a chromosome is at least 95%</w:t>
      </w:r>
      <w:r>
        <w:rPr>
          <w:rFonts w:asciiTheme="majorBidi" w:hAnsiTheme="majorBidi" w:cstheme="majorBidi"/>
          <w:color w:val="000000"/>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lastRenderedPageBreak/>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reversion from aneuploidy to euploidy. The transition 2n+1 to 2n is not aneuploidy per se, but the reversion of it. </w:t>
      </w:r>
    </w:p>
    <w:p w14:paraId="07558304" w14:textId="3DA7EBDD" w:rsidR="004001D3" w:rsidRPr="004001D3" w:rsidRDefault="004001D3" w:rsidP="004001D3">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We are sorry for the confusion, we indeed meant “reversion from aneuploidy to euploidy” and not “additional aneuploidy”.</w:t>
      </w:r>
      <w:r>
        <w:rPr>
          <w:rFonts w:asciiTheme="majorBidi" w:hAnsiTheme="majorBidi" w:cstheme="majorBidi"/>
          <w:color w:val="4472C4" w:themeColor="accent1"/>
          <w:sz w:val="22"/>
          <w:szCs w:val="22"/>
          <w:lang w:val="en-US"/>
        </w:rPr>
        <w:t xml:space="preserve"> We have now revised the text to (line 277) “</w:t>
      </w:r>
      <w:r w:rsidRPr="004001D3">
        <w:rPr>
          <w:rFonts w:asciiTheme="majorBidi" w:hAnsiTheme="majorBidi" w:cstheme="majorBidi"/>
          <w:color w:val="4472C4" w:themeColor="accent1"/>
          <w:sz w:val="22"/>
          <w:szCs w:val="22"/>
          <w:lang w:val="en-US"/>
        </w:rPr>
        <w:t>A model that assumed increased rate of chromosome loss in aneuploid cells</w:t>
      </w:r>
      <w:r>
        <w:rPr>
          <w:rFonts w:asciiTheme="majorBidi" w:hAnsiTheme="majorBidi" w:cstheme="majorBidi"/>
          <w:color w:val="4472C4" w:themeColor="accent1"/>
          <w:sz w:val="22"/>
          <w:szCs w:val="22"/>
          <w:lang w:val="en-US"/>
        </w:rPr>
        <w:t xml:space="preserve">” to avoid this confusion. </w:t>
      </w:r>
    </w:p>
    <w:p w14:paraId="1773DFA6" w14:textId="77777777" w:rsidR="004001D3" w:rsidRDefault="004001D3" w:rsidP="004001D3">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It might be clearer to use “aneuploid” to refer to the karyotype, and “non-disjunction” to refer to chromosomal mis-segregation events. I would also encourage the authors to highlight the general scarcity of empirical data non-disjunction rates, which would allow for more detailed modeling.</w:t>
      </w:r>
    </w:p>
    <w:p w14:paraId="017A3ABB" w14:textId="77777777" w:rsidR="001E76DE" w:rsidRDefault="00A3232B" w:rsidP="001E76D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Line 375. I recommend more detail about fitness definitions in terms of s, c, and b.</w:t>
      </w:r>
    </w:p>
    <w:p w14:paraId="62F5772F" w14:textId="3593E671" w:rsidR="004001D3" w:rsidRPr="004001D3" w:rsidRDefault="004001D3" w:rsidP="001E76DE">
      <w:pPr>
        <w:spacing w:before="100" w:beforeAutospacing="1" w:after="100" w:afterAutospacing="1" w:line="276" w:lineRule="auto"/>
        <w:rPr>
          <w:rFonts w:asciiTheme="majorBidi" w:hAnsiTheme="majorBidi" w:cstheme="majorBidi"/>
          <w:color w:val="000000"/>
          <w:sz w:val="22"/>
          <w:szCs w:val="22"/>
          <w:lang w:val="en-US"/>
        </w:rPr>
      </w:pPr>
      <w:r w:rsidRPr="004001D3">
        <w:rPr>
          <w:rFonts w:asciiTheme="majorBidi" w:hAnsiTheme="majorBidi" w:cstheme="majorBidi"/>
          <w:color w:val="000000"/>
          <w:sz w:val="22"/>
          <w:szCs w:val="22"/>
          <w:highlight w:val="yellow"/>
          <w:lang w:val="en-US"/>
        </w:rPr>
        <w:t>EXPLAIN WHAT C S AND B ARE</w:t>
      </w:r>
    </w:p>
    <w:p w14:paraId="4E1E124B" w14:textId="1BC8CD57" w:rsidR="001E76DE" w:rsidRDefault="00A3232B" w:rsidP="001E76D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4001D3">
        <w:rPr>
          <w:rFonts w:asciiTheme="majorBidi" w:hAnsiTheme="majorBidi" w:cstheme="majorBidi"/>
          <w:color w:val="000000"/>
          <w:sz w:val="22"/>
          <w:szCs w:val="22"/>
          <w:highlight w:val="yellow"/>
        </w:rPr>
        <w:t>It might be worth acknowledging that non-disjunction is arguably a form of mutation, but that in the context of this work “mutation” refers to point mutations or other events not relating to copy number variants.</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expanded discussion: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p>
    <w:p w14:paraId="72F2A5F3" w14:textId="61D54752" w:rsidR="001E76DE" w:rsidRDefault="00A3232B" w:rsidP="001E76D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 xml:space="preserve">As the experiments in question took place in diploid yeast, it’s possible that dominance plays a role. For 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w:t>
      </w:r>
      <w:r w:rsidRPr="00A3232B">
        <w:rPr>
          <w:rFonts w:asciiTheme="majorBidi" w:hAnsiTheme="majorBidi" w:cstheme="majorBidi"/>
          <w:color w:val="000000"/>
          <w:sz w:val="22"/>
          <w:szCs w:val="22"/>
        </w:rPr>
        <w:lastRenderedPageBreak/>
        <w:t>from yeast, in which experiments are performed in both haploids and diploids, it seems to me important to keep track of how our predictions might change with ploidy.</w:t>
      </w:r>
    </w:p>
    <w:p w14:paraId="3E0B4BCD" w14:textId="5267CB64" w:rsidR="001E76DE" w:rsidRDefault="00A3232B" w:rsidP="001E76D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genome, the fact that an extra copy of this chromosome is beneficial suggests there may be outsized potential for key adaptive point mutations here.</w:t>
      </w:r>
    </w:p>
    <w:p w14:paraId="6B9DAA3B" w14:textId="631B1D18" w:rsidR="0001504C" w:rsidRPr="001E76DE" w:rsidRDefault="00D111C7" w:rsidP="00D111C7">
      <w:pPr>
        <w:spacing w:before="100" w:beforeAutospacing="1" w:after="100" w:afterAutospacing="1" w:line="276" w:lineRule="auto"/>
        <w:rPr>
          <w:rFonts w:asciiTheme="majorBidi" w:hAnsiTheme="majorBidi" w:cstheme="majorBidi"/>
          <w:color w:val="000000"/>
          <w:sz w:val="22"/>
          <w:szCs w:val="22"/>
          <w:lang w:val="en-US"/>
        </w:rPr>
      </w:pPr>
      <w:r w:rsidRPr="00D111C7">
        <w:rPr>
          <w:rFonts w:asciiTheme="majorBidi" w:hAnsiTheme="majorBidi" w:cstheme="majorBidi"/>
          <w:color w:val="4472C4" w:themeColor="accent1"/>
          <w:sz w:val="22"/>
          <w:szCs w:val="22"/>
          <w:lang w:val="en-US"/>
        </w:rPr>
        <w:t>This is a good point. However, we neglect transitions to less fit genotypes (such as 2n+1*-&gt;2n) because they are not expected to affect the evolutionary dynamics. Therefore, assuming that loss of chromosome also leads to loss of the beneficial mutation will effectively reduce the rate of chromosome loss by 33%. This rate is already very high: the 2n+1* never increases in frequency as it is rapidly replaced by 2n* (see gray and purple lines in Fig.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sectPr w:rsidR="0001504C" w:rsidRPr="001E76DE" w:rsidSect="00130DAF">
      <w:footerReference w:type="even" r:id="rId8"/>
      <w:footerReference w:type="default" r:id="rId9"/>
      <w:headerReference w:type="first" r:id="rId10"/>
      <w:foot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7538" w14:textId="77777777" w:rsidR="008075F7" w:rsidRDefault="008075F7" w:rsidP="00130DAF">
      <w:r>
        <w:separator/>
      </w:r>
    </w:p>
  </w:endnote>
  <w:endnote w:type="continuationSeparator" w:id="0">
    <w:p w14:paraId="18DAA34C" w14:textId="77777777" w:rsidR="008075F7" w:rsidRDefault="008075F7"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942E" w14:textId="77777777" w:rsidR="008075F7" w:rsidRDefault="008075F7" w:rsidP="00130DAF">
      <w:r>
        <w:separator/>
      </w:r>
    </w:p>
  </w:footnote>
  <w:footnote w:type="continuationSeparator" w:id="0">
    <w:p w14:paraId="347C29CB" w14:textId="77777777" w:rsidR="008075F7" w:rsidRDefault="008075F7"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504C"/>
    <w:rsid w:val="00030B4D"/>
    <w:rsid w:val="00061D87"/>
    <w:rsid w:val="00073EE2"/>
    <w:rsid w:val="000918E2"/>
    <w:rsid w:val="000A0BB7"/>
    <w:rsid w:val="000A31BA"/>
    <w:rsid w:val="000B4AA6"/>
    <w:rsid w:val="000C0265"/>
    <w:rsid w:val="000C50DC"/>
    <w:rsid w:val="000C7D66"/>
    <w:rsid w:val="000D6C69"/>
    <w:rsid w:val="00130DAF"/>
    <w:rsid w:val="001616EE"/>
    <w:rsid w:val="00170E87"/>
    <w:rsid w:val="00174C77"/>
    <w:rsid w:val="00185778"/>
    <w:rsid w:val="00194049"/>
    <w:rsid w:val="001A6827"/>
    <w:rsid w:val="001C2077"/>
    <w:rsid w:val="001E76DE"/>
    <w:rsid w:val="002210D9"/>
    <w:rsid w:val="002227B0"/>
    <w:rsid w:val="00231949"/>
    <w:rsid w:val="00255C46"/>
    <w:rsid w:val="00261C22"/>
    <w:rsid w:val="00263858"/>
    <w:rsid w:val="0026785C"/>
    <w:rsid w:val="00282A38"/>
    <w:rsid w:val="00287996"/>
    <w:rsid w:val="002A655E"/>
    <w:rsid w:val="002B09CE"/>
    <w:rsid w:val="002B2AE4"/>
    <w:rsid w:val="002B4FE2"/>
    <w:rsid w:val="002C1374"/>
    <w:rsid w:val="002E5382"/>
    <w:rsid w:val="002E6BEB"/>
    <w:rsid w:val="003217AD"/>
    <w:rsid w:val="003C2A29"/>
    <w:rsid w:val="003D5691"/>
    <w:rsid w:val="003E162A"/>
    <w:rsid w:val="004001D3"/>
    <w:rsid w:val="00411EBF"/>
    <w:rsid w:val="00417802"/>
    <w:rsid w:val="0042674B"/>
    <w:rsid w:val="00430935"/>
    <w:rsid w:val="00454D0C"/>
    <w:rsid w:val="00455780"/>
    <w:rsid w:val="00457865"/>
    <w:rsid w:val="00460164"/>
    <w:rsid w:val="00485E63"/>
    <w:rsid w:val="004A111C"/>
    <w:rsid w:val="004A25BE"/>
    <w:rsid w:val="004B02EC"/>
    <w:rsid w:val="004C1DE0"/>
    <w:rsid w:val="004E46DE"/>
    <w:rsid w:val="00500ED3"/>
    <w:rsid w:val="00507BC5"/>
    <w:rsid w:val="00526EC8"/>
    <w:rsid w:val="005319BD"/>
    <w:rsid w:val="0054291D"/>
    <w:rsid w:val="00556DA0"/>
    <w:rsid w:val="005673E9"/>
    <w:rsid w:val="00573EE4"/>
    <w:rsid w:val="005873D5"/>
    <w:rsid w:val="005B7417"/>
    <w:rsid w:val="005C2689"/>
    <w:rsid w:val="005F7C02"/>
    <w:rsid w:val="006312A8"/>
    <w:rsid w:val="0064187F"/>
    <w:rsid w:val="006600B8"/>
    <w:rsid w:val="00661ACD"/>
    <w:rsid w:val="00682ED3"/>
    <w:rsid w:val="00691E6D"/>
    <w:rsid w:val="006A3892"/>
    <w:rsid w:val="006A5A4E"/>
    <w:rsid w:val="006C3E25"/>
    <w:rsid w:val="006F2AB3"/>
    <w:rsid w:val="007122B3"/>
    <w:rsid w:val="00723CAB"/>
    <w:rsid w:val="0073741C"/>
    <w:rsid w:val="00751C78"/>
    <w:rsid w:val="00767513"/>
    <w:rsid w:val="007A7AAB"/>
    <w:rsid w:val="007B3C79"/>
    <w:rsid w:val="007B5EC4"/>
    <w:rsid w:val="007D43D6"/>
    <w:rsid w:val="007D4A90"/>
    <w:rsid w:val="007D6859"/>
    <w:rsid w:val="007E710E"/>
    <w:rsid w:val="007F2E4D"/>
    <w:rsid w:val="007F3301"/>
    <w:rsid w:val="008075F7"/>
    <w:rsid w:val="00810CB4"/>
    <w:rsid w:val="008542E8"/>
    <w:rsid w:val="00860E6C"/>
    <w:rsid w:val="00881AFC"/>
    <w:rsid w:val="008B4E22"/>
    <w:rsid w:val="008F26FF"/>
    <w:rsid w:val="008F2FAB"/>
    <w:rsid w:val="008F52EF"/>
    <w:rsid w:val="00902F07"/>
    <w:rsid w:val="009147F0"/>
    <w:rsid w:val="00941592"/>
    <w:rsid w:val="00983760"/>
    <w:rsid w:val="0099463B"/>
    <w:rsid w:val="009B3299"/>
    <w:rsid w:val="009D36B2"/>
    <w:rsid w:val="00A0199F"/>
    <w:rsid w:val="00A0381C"/>
    <w:rsid w:val="00A05320"/>
    <w:rsid w:val="00A3232B"/>
    <w:rsid w:val="00A62FD4"/>
    <w:rsid w:val="00A9233E"/>
    <w:rsid w:val="00A9494E"/>
    <w:rsid w:val="00A94A1C"/>
    <w:rsid w:val="00AA052A"/>
    <w:rsid w:val="00AD6DFC"/>
    <w:rsid w:val="00AE09F7"/>
    <w:rsid w:val="00AF4C46"/>
    <w:rsid w:val="00B235AF"/>
    <w:rsid w:val="00B37F46"/>
    <w:rsid w:val="00B54743"/>
    <w:rsid w:val="00B72819"/>
    <w:rsid w:val="00B8511A"/>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D07568"/>
    <w:rsid w:val="00D111C7"/>
    <w:rsid w:val="00D25936"/>
    <w:rsid w:val="00D60F40"/>
    <w:rsid w:val="00D67920"/>
    <w:rsid w:val="00D74CD5"/>
    <w:rsid w:val="00D75914"/>
    <w:rsid w:val="00D83AC6"/>
    <w:rsid w:val="00D876E5"/>
    <w:rsid w:val="00D90204"/>
    <w:rsid w:val="00DA5F8E"/>
    <w:rsid w:val="00DF7B26"/>
    <w:rsid w:val="00E0169C"/>
    <w:rsid w:val="00E06951"/>
    <w:rsid w:val="00E07B55"/>
    <w:rsid w:val="00E10E81"/>
    <w:rsid w:val="00E2054E"/>
    <w:rsid w:val="00E62444"/>
    <w:rsid w:val="00E90C28"/>
    <w:rsid w:val="00E95DFA"/>
    <w:rsid w:val="00EF104D"/>
    <w:rsid w:val="00EF5207"/>
    <w:rsid w:val="00F279CE"/>
    <w:rsid w:val="00F315D4"/>
    <w:rsid w:val="00F3487A"/>
    <w:rsid w:val="00F54D0E"/>
    <w:rsid w:val="00F93ABB"/>
    <w:rsid w:val="00F93D01"/>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23</cp:revision>
  <cp:lastPrinted>2024-01-11T11:15:00Z</cp:lastPrinted>
  <dcterms:created xsi:type="dcterms:W3CDTF">2024-01-11T13:12:00Z</dcterms:created>
  <dcterms:modified xsi:type="dcterms:W3CDTF">2024-01-21T14:44:00Z</dcterms:modified>
</cp:coreProperties>
</file>